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9D193" w14:textId="34C5EEF7" w:rsidR="00684A70" w:rsidRPr="007340B4" w:rsidRDefault="00684A70" w:rsidP="006C16DE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color w:val="222222"/>
          <w:lang w:val="ka-GE"/>
        </w:rPr>
      </w:pPr>
      <w:r w:rsidRPr="007340B4">
        <w:rPr>
          <w:rFonts w:ascii="Sylfaen" w:eastAsia="Times New Roman" w:hAnsi="Sylfaen" w:cs="Arial"/>
          <w:b/>
          <w:bCs/>
          <w:color w:val="222222"/>
          <w:lang w:val="ka-GE"/>
        </w:rPr>
        <w:t>ინფლაცია</w:t>
      </w:r>
      <w:r w:rsidR="000C4C6D" w:rsidRPr="007340B4">
        <w:rPr>
          <w:rFonts w:ascii="Sylfaen" w:eastAsia="Times New Roman" w:hAnsi="Sylfaen" w:cs="Arial"/>
          <w:b/>
          <w:bCs/>
          <w:color w:val="222222"/>
          <w:lang w:val="ka-GE"/>
        </w:rPr>
        <w:t xml:space="preserve"> -</w:t>
      </w:r>
      <w:r w:rsidR="00316D6E">
        <w:rPr>
          <w:rFonts w:ascii="Sylfaen" w:eastAsia="Times New Roman" w:hAnsi="Sylfaen" w:cs="Arial"/>
          <w:b/>
          <w:bCs/>
          <w:color w:val="222222"/>
          <w:lang w:val="ka-GE"/>
        </w:rPr>
        <w:t xml:space="preserve"> </w:t>
      </w:r>
      <w:r w:rsidR="00E645D2" w:rsidRPr="007340B4">
        <w:rPr>
          <w:rFonts w:ascii="Sylfaen" w:eastAsia="Times New Roman" w:hAnsi="Sylfaen" w:cs="Arial"/>
          <w:b/>
          <w:bCs/>
          <w:color w:val="222222"/>
          <w:lang w:val="ka-GE"/>
        </w:rPr>
        <w:t xml:space="preserve"> </w:t>
      </w:r>
      <w:r w:rsidR="00AD5177" w:rsidRPr="007340B4">
        <w:rPr>
          <w:rFonts w:ascii="Sylfaen" w:eastAsia="Times New Roman" w:hAnsi="Sylfaen" w:cs="Arial"/>
          <w:b/>
          <w:bCs/>
          <w:color w:val="222222"/>
          <w:lang w:val="ka-GE"/>
        </w:rPr>
        <w:t xml:space="preserve"> </w:t>
      </w:r>
      <w:r w:rsidR="00CE3199">
        <w:rPr>
          <w:rFonts w:ascii="Sylfaen" w:eastAsia="Times New Roman" w:hAnsi="Sylfaen" w:cs="Arial"/>
          <w:b/>
          <w:bCs/>
          <w:color w:val="222222"/>
          <w:lang w:val="ka-GE"/>
        </w:rPr>
        <w:t>სექტემბერი</w:t>
      </w:r>
      <w:r w:rsidR="00915AC9">
        <w:rPr>
          <w:rFonts w:ascii="Sylfaen" w:eastAsia="Times New Roman" w:hAnsi="Sylfaen" w:cs="Arial"/>
          <w:b/>
          <w:bCs/>
          <w:color w:val="222222"/>
          <w:lang w:val="ka-GE"/>
        </w:rPr>
        <w:t xml:space="preserve"> 2020</w:t>
      </w:r>
    </w:p>
    <w:p w14:paraId="5579D22D" w14:textId="77777777" w:rsidR="00274E0D" w:rsidRPr="007340B4" w:rsidRDefault="00274E0D" w:rsidP="006C1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ka-GE"/>
        </w:rPr>
      </w:pPr>
    </w:p>
    <w:p w14:paraId="73932B88" w14:textId="77777777" w:rsidR="00974BB8" w:rsidRPr="005776E6" w:rsidRDefault="00915AC9" w:rsidP="00974BB8">
      <w:pPr>
        <w:shd w:val="clear" w:color="auto" w:fill="FFFFFF"/>
        <w:spacing w:line="240" w:lineRule="auto"/>
        <w:jc w:val="both"/>
        <w:rPr>
          <w:rFonts w:ascii="Sylfaen" w:eastAsia="Times New Roman" w:hAnsi="Sylfaen" w:cs="Arial"/>
          <w:b/>
          <w:color w:val="222222"/>
        </w:rPr>
      </w:pPr>
      <w:r>
        <w:rPr>
          <w:rFonts w:ascii="Sylfaen" w:eastAsia="Times New Roman" w:hAnsi="Sylfaen" w:cs="Arial"/>
          <w:b/>
          <w:color w:val="222222"/>
          <w:lang w:val="ka-GE"/>
        </w:rPr>
        <w:t>2020</w:t>
      </w:r>
      <w:r w:rsidR="005060A0" w:rsidRPr="0083150C">
        <w:rPr>
          <w:rFonts w:ascii="Sylfaen" w:eastAsia="Times New Roman" w:hAnsi="Sylfaen" w:cs="Arial"/>
          <w:b/>
          <w:color w:val="222222"/>
          <w:lang w:val="ka-GE"/>
        </w:rPr>
        <w:t xml:space="preserve"> წლის </w:t>
      </w:r>
      <w:r w:rsidR="00CE3199">
        <w:rPr>
          <w:rFonts w:ascii="Sylfaen" w:eastAsia="Times New Roman" w:hAnsi="Sylfaen" w:cs="Arial"/>
          <w:b/>
          <w:color w:val="222222"/>
          <w:lang w:val="ka-GE"/>
        </w:rPr>
        <w:t>სექტემბერ</w:t>
      </w:r>
      <w:r w:rsidR="00AB144D">
        <w:rPr>
          <w:rFonts w:ascii="Sylfaen" w:eastAsia="Times New Roman" w:hAnsi="Sylfaen" w:cs="Arial"/>
          <w:b/>
          <w:color w:val="222222"/>
          <w:lang w:val="ka-GE"/>
        </w:rPr>
        <w:t>ში</w:t>
      </w:r>
      <w:r w:rsidR="00F51387" w:rsidRPr="0083150C">
        <w:rPr>
          <w:rFonts w:ascii="Sylfaen" w:eastAsia="Times New Roman" w:hAnsi="Sylfaen" w:cs="Arial"/>
          <w:b/>
          <w:color w:val="222222"/>
          <w:lang w:val="ka-GE"/>
        </w:rPr>
        <w:t xml:space="preserve"> წლიური ინფლაციის დონემ </w:t>
      </w:r>
      <w:r w:rsidR="00CE3199">
        <w:rPr>
          <w:rFonts w:ascii="Sylfaen" w:eastAsia="Times New Roman" w:hAnsi="Sylfaen" w:cs="Arial"/>
          <w:b/>
          <w:color w:val="222222"/>
        </w:rPr>
        <w:t>3.8</w:t>
      </w:r>
      <w:r w:rsidR="00E645D2" w:rsidRPr="0083150C">
        <w:rPr>
          <w:rFonts w:ascii="Sylfaen" w:eastAsia="Times New Roman" w:hAnsi="Sylfaen" w:cs="Arial"/>
          <w:b/>
          <w:color w:val="222222"/>
          <w:lang w:val="ka-GE"/>
        </w:rPr>
        <w:t xml:space="preserve"> </w:t>
      </w:r>
      <w:r w:rsidR="007A2323" w:rsidRPr="0083150C">
        <w:rPr>
          <w:rFonts w:ascii="Sylfaen" w:eastAsia="Times New Roman" w:hAnsi="Sylfaen" w:cs="Arial"/>
          <w:b/>
          <w:color w:val="222222"/>
          <w:lang w:val="ka-GE"/>
        </w:rPr>
        <w:t>პროცენტი</w:t>
      </w:r>
      <w:r w:rsidR="00684A70" w:rsidRPr="0083150C">
        <w:rPr>
          <w:rFonts w:ascii="Sylfaen" w:eastAsia="Times New Roman" w:hAnsi="Sylfaen" w:cs="Arial"/>
          <w:b/>
          <w:color w:val="222222"/>
          <w:lang w:val="ka-GE"/>
        </w:rPr>
        <w:t xml:space="preserve"> შეადგინა</w:t>
      </w:r>
      <w:r w:rsidR="00684A70" w:rsidRPr="007340B4">
        <w:rPr>
          <w:rFonts w:ascii="Sylfaen" w:eastAsia="Times New Roman" w:hAnsi="Sylfaen" w:cs="Arial"/>
          <w:color w:val="222222"/>
          <w:lang w:val="ka-GE"/>
        </w:rPr>
        <w:t xml:space="preserve">, </w:t>
      </w:r>
      <w:r w:rsidR="00F272E1" w:rsidRPr="00E40A22">
        <w:rPr>
          <w:rFonts w:ascii="Sylfaen" w:eastAsia="Times New Roman" w:hAnsi="Sylfaen" w:cs="Arial"/>
          <w:b/>
          <w:color w:val="222222"/>
          <w:lang w:val="ka-GE"/>
        </w:rPr>
        <w:t xml:space="preserve">ხოლო წინა თვესთან შედარებით </w:t>
      </w:r>
      <w:r>
        <w:rPr>
          <w:rFonts w:ascii="Sylfaen" w:eastAsia="Times New Roman" w:hAnsi="Sylfaen" w:cs="Arial"/>
          <w:b/>
          <w:color w:val="222222"/>
          <w:lang w:val="ka-GE"/>
        </w:rPr>
        <w:t xml:space="preserve">ფასების დონე  </w:t>
      </w:r>
      <w:r w:rsidR="00CE3199">
        <w:rPr>
          <w:rFonts w:ascii="Sylfaen" w:eastAsia="Times New Roman" w:hAnsi="Sylfaen" w:cs="Arial"/>
          <w:b/>
          <w:color w:val="222222"/>
        </w:rPr>
        <w:t>0.7</w:t>
      </w:r>
      <w:r w:rsidR="00AB144D">
        <w:rPr>
          <w:rFonts w:ascii="Sylfaen" w:eastAsia="Times New Roman" w:hAnsi="Sylfaen" w:cs="Arial"/>
          <w:b/>
          <w:color w:val="222222"/>
          <w:lang w:val="ka-GE"/>
        </w:rPr>
        <w:t xml:space="preserve"> </w:t>
      </w:r>
      <w:r w:rsidR="00A12BC6" w:rsidRPr="00E40A22">
        <w:rPr>
          <w:rFonts w:ascii="Sylfaen" w:eastAsia="Times New Roman" w:hAnsi="Sylfaen" w:cs="Arial"/>
          <w:b/>
          <w:color w:val="222222"/>
          <w:lang w:val="ka-GE"/>
        </w:rPr>
        <w:t xml:space="preserve">პროცენტით </w:t>
      </w:r>
      <w:r w:rsidR="00CE3199">
        <w:rPr>
          <w:rFonts w:ascii="Sylfaen" w:eastAsia="Times New Roman" w:hAnsi="Sylfaen" w:cs="Arial"/>
          <w:b/>
          <w:color w:val="222222"/>
          <w:lang w:val="ka-GE"/>
        </w:rPr>
        <w:t>გაიზარდა.</w:t>
      </w:r>
      <w:r w:rsidR="00992DB0">
        <w:rPr>
          <w:rFonts w:ascii="Sylfaen" w:eastAsia="Times New Roman" w:hAnsi="Sylfaen" w:cs="Arial"/>
          <w:b/>
          <w:color w:val="222222"/>
          <w:lang w:val="ka-GE"/>
        </w:rPr>
        <w:t xml:space="preserve"> </w:t>
      </w:r>
      <w:r w:rsidR="0084010A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84010A" w:rsidRPr="0084010A">
        <w:rPr>
          <w:rFonts w:ascii="Sylfaen" w:eastAsia="Times New Roman" w:hAnsi="Sylfaen" w:cs="Arial"/>
          <w:b/>
          <w:color w:val="222222"/>
        </w:rPr>
        <w:t>აღსანიშნავია</w:t>
      </w:r>
      <w:proofErr w:type="spellEnd"/>
      <w:r w:rsidR="0084010A" w:rsidRPr="0084010A">
        <w:rPr>
          <w:rFonts w:ascii="Sylfaen" w:eastAsia="Times New Roman" w:hAnsi="Sylfaen" w:cs="Arial"/>
          <w:b/>
          <w:color w:val="222222"/>
        </w:rPr>
        <w:t xml:space="preserve">, </w:t>
      </w:r>
      <w:proofErr w:type="spellStart"/>
      <w:r w:rsidR="0084010A" w:rsidRPr="0084010A">
        <w:rPr>
          <w:rFonts w:ascii="Sylfaen" w:eastAsia="Times New Roman" w:hAnsi="Sylfaen" w:cs="Arial"/>
          <w:b/>
          <w:color w:val="222222"/>
        </w:rPr>
        <w:t>რომ</w:t>
      </w:r>
      <w:proofErr w:type="spellEnd"/>
      <w:r w:rsidR="0084010A" w:rsidRPr="0084010A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84010A" w:rsidRPr="0084010A">
        <w:rPr>
          <w:rFonts w:ascii="Sylfaen" w:eastAsia="Times New Roman" w:hAnsi="Sylfaen" w:cs="Arial"/>
          <w:b/>
          <w:color w:val="222222"/>
        </w:rPr>
        <w:t>წლიური</w:t>
      </w:r>
      <w:proofErr w:type="spellEnd"/>
      <w:r w:rsidR="0084010A" w:rsidRPr="0084010A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84010A" w:rsidRPr="0084010A">
        <w:rPr>
          <w:rFonts w:ascii="Sylfaen" w:eastAsia="Times New Roman" w:hAnsi="Sylfaen" w:cs="Arial"/>
          <w:b/>
          <w:color w:val="222222"/>
        </w:rPr>
        <w:t>ინფლაციის</w:t>
      </w:r>
      <w:proofErr w:type="spellEnd"/>
      <w:r w:rsidR="0084010A" w:rsidRPr="0084010A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84010A" w:rsidRPr="0084010A">
        <w:rPr>
          <w:rFonts w:ascii="Sylfaen" w:eastAsia="Times New Roman" w:hAnsi="Sylfaen" w:cs="Arial"/>
          <w:b/>
          <w:color w:val="222222"/>
        </w:rPr>
        <w:t>დონე</w:t>
      </w:r>
      <w:proofErr w:type="spellEnd"/>
      <w:r w:rsidR="0084010A">
        <w:rPr>
          <w:rFonts w:ascii="Sylfaen" w:eastAsia="Times New Roman" w:hAnsi="Sylfaen" w:cs="Arial"/>
          <w:b/>
          <w:color w:val="222222"/>
        </w:rPr>
        <w:t xml:space="preserve"> </w:t>
      </w:r>
      <w:r w:rsidR="0084010A">
        <w:rPr>
          <w:rFonts w:ascii="Sylfaen" w:eastAsia="Times New Roman" w:hAnsi="Sylfaen" w:cs="Arial"/>
          <w:b/>
          <w:color w:val="222222"/>
          <w:lang w:val="ka-GE"/>
        </w:rPr>
        <w:t xml:space="preserve">მაისიდან შემცირების ტენდენციით ხასიათდება. </w:t>
      </w:r>
      <w:r w:rsidR="00974BB8">
        <w:rPr>
          <w:rFonts w:ascii="Sylfaen" w:eastAsia="Times New Roman" w:hAnsi="Sylfaen" w:cs="Arial"/>
          <w:b/>
          <w:color w:val="222222"/>
        </w:rPr>
        <w:t>(</w:t>
      </w:r>
      <w:r w:rsidR="00974BB8">
        <w:rPr>
          <w:rFonts w:ascii="Sylfaen" w:eastAsia="Times New Roman" w:hAnsi="Sylfaen" w:cs="Arial"/>
          <w:b/>
          <w:color w:val="222222"/>
          <w:lang w:val="ka-GE"/>
        </w:rPr>
        <w:t>აპრილი - 6.9%; მაისი - 6.5%; ივნისი - 6.1%; ივლისი - 5.7%; აგვისტო - 4.8%</w:t>
      </w:r>
      <w:r w:rsidR="00974BB8">
        <w:rPr>
          <w:rFonts w:ascii="Sylfaen" w:eastAsia="Times New Roman" w:hAnsi="Sylfaen" w:cs="Arial"/>
          <w:b/>
          <w:color w:val="222222"/>
        </w:rPr>
        <w:t>)</w:t>
      </w:r>
    </w:p>
    <w:p w14:paraId="136DF8DB" w14:textId="09785A89" w:rsidR="002E1370" w:rsidRPr="003D3FC3" w:rsidRDefault="00B6468B" w:rsidP="006C16DE">
      <w:pPr>
        <w:shd w:val="clear" w:color="auto" w:fill="FFFFFF"/>
        <w:spacing w:line="240" w:lineRule="auto"/>
        <w:jc w:val="both"/>
        <w:rPr>
          <w:rFonts w:ascii="Sylfaen" w:eastAsia="Times New Roman" w:hAnsi="Sylfaen" w:cs="Arial"/>
          <w:b/>
          <w:color w:val="222222"/>
        </w:rPr>
      </w:pPr>
      <w:r w:rsidRPr="002E1370">
        <w:rPr>
          <w:rFonts w:ascii="Sylfaen" w:eastAsia="Times New Roman" w:hAnsi="Sylfaen" w:cs="Arial"/>
          <w:b/>
          <w:color w:val="222222"/>
          <w:lang w:val="ka-GE"/>
        </w:rPr>
        <w:t>საბაზო ინფლაცია</w:t>
      </w:r>
      <w:r w:rsidR="00460E23">
        <w:rPr>
          <w:rFonts w:ascii="Sylfaen" w:eastAsia="Times New Roman" w:hAnsi="Sylfaen" w:cs="Arial"/>
          <w:b/>
          <w:color w:val="222222"/>
          <w:lang w:val="ka-GE"/>
        </w:rPr>
        <w:t>,</w:t>
      </w:r>
      <w:r w:rsidR="0036275C" w:rsidRPr="00A34639">
        <w:rPr>
          <w:vertAlign w:val="superscript"/>
        </w:rPr>
        <w:footnoteReference w:id="1"/>
      </w:r>
      <w:r w:rsidRPr="002E1370">
        <w:rPr>
          <w:rFonts w:ascii="Sylfaen" w:eastAsia="Times New Roman" w:hAnsi="Sylfaen" w:cs="Arial"/>
          <w:b/>
          <w:color w:val="222222"/>
          <w:lang w:val="ka-GE"/>
        </w:rPr>
        <w:t xml:space="preserve"> </w:t>
      </w:r>
      <w:r w:rsidR="00CE3199">
        <w:rPr>
          <w:rFonts w:ascii="Sylfaen" w:eastAsia="Times New Roman" w:hAnsi="Sylfaen" w:cs="Arial"/>
          <w:b/>
          <w:color w:val="222222"/>
          <w:lang w:val="ka-GE"/>
        </w:rPr>
        <w:t>5.2</w:t>
      </w:r>
      <w:r w:rsidRPr="002E1370">
        <w:rPr>
          <w:rFonts w:ascii="Sylfaen" w:eastAsia="Times New Roman" w:hAnsi="Sylfaen" w:cs="Arial"/>
          <w:b/>
          <w:color w:val="222222"/>
          <w:lang w:val="ka-GE"/>
        </w:rPr>
        <w:t xml:space="preserve"> პროცენტს </w:t>
      </w:r>
      <w:r w:rsidR="002E1370" w:rsidRPr="002E1370">
        <w:rPr>
          <w:rFonts w:ascii="Sylfaen" w:eastAsia="Times New Roman" w:hAnsi="Sylfaen" w:cs="Arial"/>
          <w:b/>
          <w:color w:val="222222"/>
          <w:lang w:val="ka-GE"/>
        </w:rPr>
        <w:t>შეადგენს, ხოლო საბაზო ინ</w:t>
      </w:r>
      <w:r w:rsidR="00A35AF6">
        <w:rPr>
          <w:rFonts w:ascii="Sylfaen" w:eastAsia="Times New Roman" w:hAnsi="Sylfaen" w:cs="Arial"/>
          <w:b/>
          <w:color w:val="222222"/>
          <w:lang w:val="ka-GE"/>
        </w:rPr>
        <w:t xml:space="preserve">ფლაცია თამბაქოს გამორიცხვით </w:t>
      </w:r>
      <w:r w:rsidR="00CE3199">
        <w:rPr>
          <w:rFonts w:ascii="Sylfaen" w:eastAsia="Times New Roman" w:hAnsi="Sylfaen" w:cs="Arial"/>
          <w:b/>
          <w:color w:val="222222"/>
          <w:lang w:val="ka-GE"/>
        </w:rPr>
        <w:t>4.7</w:t>
      </w:r>
      <w:r w:rsidR="00A35AF6">
        <w:rPr>
          <w:rFonts w:ascii="Sylfaen" w:eastAsia="Times New Roman" w:hAnsi="Sylfaen" w:cs="Arial"/>
          <w:b/>
          <w:color w:val="222222"/>
          <w:lang w:val="ka-GE"/>
        </w:rPr>
        <w:t xml:space="preserve"> </w:t>
      </w:r>
      <w:r w:rsidR="00D621CD">
        <w:rPr>
          <w:rFonts w:ascii="Sylfaen" w:eastAsia="Times New Roman" w:hAnsi="Sylfaen" w:cs="Arial"/>
          <w:b/>
          <w:color w:val="222222"/>
          <w:lang w:val="ka-GE"/>
        </w:rPr>
        <w:t>პროცენტით</w:t>
      </w:r>
      <w:r w:rsidR="00C24947">
        <w:rPr>
          <w:rFonts w:ascii="Sylfaen" w:eastAsia="Times New Roman" w:hAnsi="Sylfaen" w:cs="Arial"/>
          <w:b/>
          <w:color w:val="222222"/>
          <w:lang w:val="ka-GE"/>
        </w:rPr>
        <w:t xml:space="preserve"> </w:t>
      </w:r>
      <w:r w:rsidR="00D621CD">
        <w:rPr>
          <w:rFonts w:ascii="Sylfaen" w:eastAsia="Times New Roman" w:hAnsi="Sylfaen" w:cs="Arial"/>
          <w:b/>
          <w:color w:val="222222"/>
          <w:lang w:val="ka-GE"/>
        </w:rPr>
        <w:t>განისაზღვრა</w:t>
      </w:r>
      <w:r w:rsidR="002E1370" w:rsidRPr="002E1370">
        <w:rPr>
          <w:rFonts w:ascii="Sylfaen" w:eastAsia="Times New Roman" w:hAnsi="Sylfaen" w:cs="Arial"/>
          <w:b/>
          <w:color w:val="222222"/>
          <w:lang w:val="ka-GE"/>
        </w:rPr>
        <w:t xml:space="preserve">. </w:t>
      </w:r>
      <w:r w:rsidRPr="002E1370">
        <w:rPr>
          <w:rFonts w:ascii="Sylfaen" w:eastAsia="Times New Roman" w:hAnsi="Sylfaen" w:cs="Arial"/>
          <w:b/>
          <w:color w:val="222222"/>
          <w:lang w:val="ka-GE"/>
        </w:rPr>
        <w:t xml:space="preserve"> </w:t>
      </w:r>
      <w:r w:rsidR="00C24947">
        <w:rPr>
          <w:rFonts w:ascii="Sylfaen" w:eastAsia="Times New Roman" w:hAnsi="Sylfaen" w:cs="Arial"/>
          <w:b/>
          <w:color w:val="222222"/>
          <w:lang w:val="ka-GE"/>
        </w:rPr>
        <w:t xml:space="preserve"> </w:t>
      </w:r>
    </w:p>
    <w:p w14:paraId="7E884421" w14:textId="737D9AFD" w:rsidR="0029151F" w:rsidRPr="0029151F" w:rsidRDefault="0029151F" w:rsidP="007003BF">
      <w:pPr>
        <w:shd w:val="clear" w:color="auto" w:fill="FFFFFF"/>
        <w:spacing w:line="240" w:lineRule="auto"/>
        <w:jc w:val="both"/>
        <w:rPr>
          <w:rFonts w:ascii="Sylfaen" w:eastAsia="Times New Roman" w:hAnsi="Sylfaen" w:cs="Arial"/>
          <w:b/>
          <w:color w:val="222222"/>
          <w:lang w:val="ka-GE"/>
        </w:rPr>
      </w:pPr>
      <w:r w:rsidRPr="0029151F">
        <w:rPr>
          <w:rFonts w:ascii="Sylfaen" w:eastAsia="Times New Roman" w:hAnsi="Sylfaen" w:cs="Arial"/>
          <w:b/>
          <w:color w:val="222222"/>
          <w:lang w:val="ka-GE"/>
        </w:rPr>
        <w:t xml:space="preserve">საქართველოს ეროვნული ბანკის მონეტარული პოლიტიკის კომიტეტმა 2020 წლის </w:t>
      </w:r>
      <w:r w:rsidR="00CE3199">
        <w:rPr>
          <w:rFonts w:ascii="Sylfaen" w:eastAsia="Times New Roman" w:hAnsi="Sylfaen" w:cs="Arial"/>
          <w:b/>
          <w:color w:val="222222"/>
        </w:rPr>
        <w:t>16</w:t>
      </w:r>
      <w:r w:rsidR="00C47457">
        <w:rPr>
          <w:rFonts w:ascii="Sylfaen" w:eastAsia="Times New Roman" w:hAnsi="Sylfaen" w:cs="Arial"/>
          <w:b/>
          <w:color w:val="222222"/>
        </w:rPr>
        <w:t xml:space="preserve"> </w:t>
      </w:r>
      <w:r w:rsidR="00CE3199">
        <w:rPr>
          <w:rFonts w:ascii="Sylfaen" w:eastAsia="Times New Roman" w:hAnsi="Sylfaen" w:cs="Arial"/>
          <w:b/>
          <w:color w:val="222222"/>
          <w:lang w:val="ka-GE"/>
        </w:rPr>
        <w:t>სექტემბრი</w:t>
      </w:r>
      <w:r w:rsidR="00C47457">
        <w:rPr>
          <w:rFonts w:ascii="Sylfaen" w:eastAsia="Times New Roman" w:hAnsi="Sylfaen" w:cs="Arial"/>
          <w:b/>
          <w:color w:val="222222"/>
          <w:lang w:val="ka-GE"/>
        </w:rPr>
        <w:t>ს</w:t>
      </w:r>
      <w:r w:rsidRPr="0029151F">
        <w:rPr>
          <w:rFonts w:ascii="Sylfaen" w:eastAsia="Times New Roman" w:hAnsi="Sylfaen" w:cs="Arial"/>
          <w:b/>
          <w:color w:val="222222"/>
          <w:lang w:val="ka-GE"/>
        </w:rPr>
        <w:t xml:space="preserve"> სხდომაზე მონეტარული პოლიტიკის განაკვეთის </w:t>
      </w:r>
      <w:r w:rsidR="00CE3199">
        <w:rPr>
          <w:rFonts w:ascii="Sylfaen" w:eastAsia="Times New Roman" w:hAnsi="Sylfaen" w:cs="Arial"/>
          <w:b/>
          <w:color w:val="222222"/>
          <w:lang w:val="ka-GE"/>
        </w:rPr>
        <w:t>უცვლელად</w:t>
      </w:r>
      <w:r w:rsidRPr="0029151F">
        <w:rPr>
          <w:rFonts w:ascii="Sylfaen" w:eastAsia="Times New Roman" w:hAnsi="Sylfaen" w:cs="Arial"/>
          <w:b/>
          <w:color w:val="222222"/>
          <w:lang w:val="ka-GE"/>
        </w:rPr>
        <w:t xml:space="preserve"> 8.</w:t>
      </w:r>
      <w:r w:rsidR="00C47457">
        <w:rPr>
          <w:rFonts w:ascii="Sylfaen" w:eastAsia="Times New Roman" w:hAnsi="Sylfaen" w:cs="Arial"/>
          <w:b/>
          <w:color w:val="222222"/>
          <w:lang w:val="ka-GE"/>
        </w:rPr>
        <w:t xml:space="preserve">00 </w:t>
      </w:r>
      <w:r w:rsidRPr="0029151F">
        <w:rPr>
          <w:rFonts w:ascii="Sylfaen" w:eastAsia="Times New Roman" w:hAnsi="Sylfaen" w:cs="Arial"/>
          <w:b/>
          <w:color w:val="222222"/>
          <w:lang w:val="ka-GE"/>
        </w:rPr>
        <w:t>პროცენტ</w:t>
      </w:r>
      <w:r w:rsidR="00CE3199">
        <w:rPr>
          <w:rFonts w:ascii="Sylfaen" w:eastAsia="Times New Roman" w:hAnsi="Sylfaen" w:cs="Arial"/>
          <w:b/>
          <w:color w:val="222222"/>
          <w:lang w:val="ka-GE"/>
        </w:rPr>
        <w:t>ი</w:t>
      </w:r>
      <w:r w:rsidR="0084010A">
        <w:rPr>
          <w:rFonts w:ascii="Sylfaen" w:eastAsia="Times New Roman" w:hAnsi="Sylfaen" w:cs="Arial"/>
          <w:b/>
          <w:color w:val="222222"/>
          <w:lang w:val="ka-GE"/>
        </w:rPr>
        <w:t>ს</w:t>
      </w:r>
      <w:r w:rsidR="00EF4C98">
        <w:rPr>
          <w:rFonts w:ascii="Sylfaen" w:eastAsia="Times New Roman" w:hAnsi="Sylfaen" w:cs="Arial"/>
          <w:b/>
          <w:color w:val="222222"/>
          <w:lang w:val="ka-GE"/>
        </w:rPr>
        <w:t xml:space="preserve"> დონეზე</w:t>
      </w:r>
      <w:r w:rsidRPr="0029151F">
        <w:rPr>
          <w:rFonts w:ascii="Sylfaen" w:eastAsia="Times New Roman" w:hAnsi="Sylfaen" w:cs="Arial"/>
          <w:b/>
          <w:color w:val="222222"/>
          <w:lang w:val="ka-GE"/>
        </w:rPr>
        <w:t xml:space="preserve"> </w:t>
      </w:r>
      <w:r w:rsidR="00CE3199">
        <w:rPr>
          <w:rFonts w:ascii="Sylfaen" w:eastAsia="Times New Roman" w:hAnsi="Sylfaen" w:cs="Arial"/>
          <w:b/>
          <w:color w:val="222222"/>
          <w:lang w:val="ka-GE"/>
        </w:rPr>
        <w:t>დატოვების</w:t>
      </w:r>
      <w:r w:rsidRPr="0029151F">
        <w:rPr>
          <w:rFonts w:ascii="Sylfaen" w:eastAsia="Times New Roman" w:hAnsi="Sylfaen" w:cs="Arial"/>
          <w:b/>
          <w:color w:val="222222"/>
          <w:lang w:val="ka-GE"/>
        </w:rPr>
        <w:t xml:space="preserve"> გადაწყვეტილება მიიღო. ეროვნული ბანკის პროგნოზით, წლის დარჩენილ პერიოდში ინფლაციას შემცირების ტენდენცია ექნება</w:t>
      </w:r>
      <w:r w:rsidR="0084010A">
        <w:rPr>
          <w:rFonts w:ascii="Sylfaen" w:eastAsia="Times New Roman" w:hAnsi="Sylfaen" w:cs="Arial"/>
          <w:b/>
          <w:color w:val="222222"/>
          <w:lang w:val="ka-GE"/>
        </w:rPr>
        <w:t>,</w:t>
      </w:r>
      <w:r w:rsidRPr="0029151F">
        <w:rPr>
          <w:rFonts w:ascii="Sylfaen" w:eastAsia="Times New Roman" w:hAnsi="Sylfaen" w:cs="Arial"/>
          <w:b/>
          <w:color w:val="222222"/>
          <w:lang w:val="ka-GE"/>
        </w:rPr>
        <w:t xml:space="preserve"> </w:t>
      </w:r>
      <w:r w:rsidR="007003BF" w:rsidRPr="007003BF">
        <w:rPr>
          <w:rFonts w:ascii="Sylfaen" w:eastAsia="Times New Roman" w:hAnsi="Sylfaen" w:cs="Arial"/>
          <w:b/>
          <w:color w:val="222222"/>
          <w:lang w:val="ka-GE"/>
        </w:rPr>
        <w:t>2021 წლის პირველ ნახევარში მიზნობრივ დონეს ჩამოცდება და შემდგომ მას</w:t>
      </w:r>
      <w:r w:rsidR="007003BF">
        <w:rPr>
          <w:rFonts w:ascii="Sylfaen" w:eastAsia="Times New Roman" w:hAnsi="Sylfaen" w:cs="Arial"/>
          <w:b/>
          <w:color w:val="222222"/>
          <w:lang w:val="ka-GE"/>
        </w:rPr>
        <w:t xml:space="preserve"> </w:t>
      </w:r>
      <w:r w:rsidR="007003BF" w:rsidRPr="007003BF">
        <w:rPr>
          <w:rFonts w:ascii="Sylfaen" w:eastAsia="Times New Roman" w:hAnsi="Sylfaen" w:cs="Arial"/>
          <w:b/>
          <w:color w:val="222222"/>
          <w:lang w:val="ka-GE"/>
        </w:rPr>
        <w:t xml:space="preserve"> დაუახლოვდება</w:t>
      </w:r>
      <w:r w:rsidRPr="0029151F">
        <w:rPr>
          <w:rFonts w:ascii="Sylfaen" w:eastAsia="Times New Roman" w:hAnsi="Sylfaen" w:cs="Arial"/>
          <w:b/>
          <w:color w:val="222222"/>
          <w:lang w:val="ka-GE"/>
        </w:rPr>
        <w:t>.</w:t>
      </w:r>
    </w:p>
    <w:p w14:paraId="0AF4F1D8" w14:textId="792DCC8F" w:rsidR="00F33F91" w:rsidRPr="009A5252" w:rsidRDefault="00CE3199" w:rsidP="00CE3199">
      <w:pPr>
        <w:shd w:val="clear" w:color="auto" w:fill="FFFFFF"/>
        <w:spacing w:line="240" w:lineRule="auto"/>
        <w:jc w:val="both"/>
        <w:rPr>
          <w:rFonts w:ascii="Sylfaen" w:eastAsia="Times New Roman" w:hAnsi="Sylfaen" w:cs="Arial"/>
          <w:i/>
          <w:color w:val="222222"/>
        </w:rPr>
      </w:pPr>
      <w:r w:rsidRPr="00CE3199">
        <w:rPr>
          <w:rFonts w:ascii="Sylfaen" w:eastAsia="Times New Roman" w:hAnsi="Sylfaen" w:cs="Arial"/>
          <w:b/>
          <w:color w:val="222222"/>
          <w:lang w:val="ka-GE"/>
        </w:rPr>
        <w:t>ინფლაციის მოსალოდნელ ცვლილებას, ძირითადად, სუსტი ერთობლივი</w:t>
      </w:r>
      <w:r>
        <w:rPr>
          <w:rFonts w:ascii="Sylfaen" w:eastAsia="Times New Roman" w:hAnsi="Sylfaen" w:cs="Arial"/>
          <w:b/>
          <w:color w:val="222222"/>
          <w:lang w:val="ka-GE"/>
        </w:rPr>
        <w:t xml:space="preserve">, </w:t>
      </w:r>
      <w:r w:rsidRPr="00CE3199">
        <w:rPr>
          <w:rFonts w:ascii="Sylfaen" w:eastAsia="Times New Roman" w:hAnsi="Sylfaen" w:cs="Arial"/>
          <w:b/>
          <w:color w:val="222222"/>
          <w:lang w:val="ka-GE"/>
        </w:rPr>
        <w:t>მეტწილად</w:t>
      </w:r>
      <w:r>
        <w:rPr>
          <w:rFonts w:ascii="Sylfaen" w:eastAsia="Times New Roman" w:hAnsi="Sylfaen" w:cs="Arial"/>
          <w:b/>
          <w:color w:val="222222"/>
          <w:lang w:val="ka-GE"/>
        </w:rPr>
        <w:t xml:space="preserve"> </w:t>
      </w:r>
      <w:r w:rsidRPr="00CE3199">
        <w:rPr>
          <w:rFonts w:ascii="Sylfaen" w:eastAsia="Times New Roman" w:hAnsi="Sylfaen" w:cs="Arial"/>
          <w:b/>
          <w:color w:val="222222"/>
          <w:lang w:val="ka-GE"/>
        </w:rPr>
        <w:t>საგარეო - მოთხოვნა განსაზღვრავს. თუმცა კომიტეტმა ასევე გაითვალისწინა ინფლაციის</w:t>
      </w:r>
      <w:r>
        <w:rPr>
          <w:rFonts w:ascii="Sylfaen" w:eastAsia="Times New Roman" w:hAnsi="Sylfaen" w:cs="Arial"/>
          <w:b/>
          <w:color w:val="222222"/>
          <w:lang w:val="ka-GE"/>
        </w:rPr>
        <w:t xml:space="preserve"> </w:t>
      </w:r>
      <w:r w:rsidRPr="00CE3199">
        <w:rPr>
          <w:rFonts w:ascii="Sylfaen" w:eastAsia="Times New Roman" w:hAnsi="Sylfaen" w:cs="Arial"/>
          <w:b/>
          <w:color w:val="222222"/>
          <w:lang w:val="ka-GE"/>
        </w:rPr>
        <w:t xml:space="preserve">მოლოდინების კუთხით არსებული რისკები, </w:t>
      </w:r>
      <w:r w:rsidRPr="009A5252">
        <w:rPr>
          <w:rFonts w:ascii="Sylfaen" w:eastAsia="Times New Roman" w:hAnsi="Sylfaen" w:cs="Arial"/>
          <w:color w:val="222222"/>
          <w:lang w:val="ka-GE"/>
        </w:rPr>
        <w:t xml:space="preserve">რომლებიც სავალუტო ბაზრებზე გაზრდილ </w:t>
      </w:r>
      <w:r w:rsidR="0084010A" w:rsidRPr="009A5252">
        <w:rPr>
          <w:rFonts w:ascii="Sylfaen" w:eastAsia="Times New Roman" w:hAnsi="Sylfaen" w:cs="Arial"/>
          <w:color w:val="222222"/>
          <w:lang w:val="ka-GE"/>
        </w:rPr>
        <w:t>მერყეობას,</w:t>
      </w:r>
      <w:r w:rsidRPr="009A5252">
        <w:rPr>
          <w:rFonts w:ascii="Sylfaen" w:eastAsia="Times New Roman" w:hAnsi="Sylfaen" w:cs="Arial"/>
          <w:color w:val="222222"/>
          <w:lang w:val="ka-GE"/>
        </w:rPr>
        <w:t xml:space="preserve"> მიზნობრივზე მაღალი ინფლაციის მაჩვენებლის ხანგრძლივად შენარჩუნებას თან </w:t>
      </w:r>
      <w:r w:rsidR="0084010A" w:rsidRPr="009A5252">
        <w:rPr>
          <w:rFonts w:ascii="Sylfaen" w:eastAsia="Times New Roman" w:hAnsi="Sylfaen" w:cs="Arial"/>
          <w:color w:val="222222"/>
          <w:lang w:val="ka-GE"/>
        </w:rPr>
        <w:t xml:space="preserve">ახლავს და ასევე, </w:t>
      </w:r>
      <w:r w:rsidRPr="009A5252">
        <w:rPr>
          <w:rFonts w:ascii="Sylfaen" w:eastAsia="Times New Roman" w:hAnsi="Sylfaen" w:cs="Arial"/>
          <w:color w:val="222222"/>
          <w:lang w:val="ka-GE"/>
        </w:rPr>
        <w:t xml:space="preserve">მიწოდების მხარის პოტენციური რისკებიც. </w:t>
      </w:r>
      <w:r w:rsidRPr="00CE3199">
        <w:rPr>
          <w:rFonts w:ascii="Sylfaen" w:eastAsia="Times New Roman" w:hAnsi="Sylfaen" w:cs="Arial"/>
          <w:b/>
          <w:color w:val="222222"/>
          <w:lang w:val="ka-GE"/>
        </w:rPr>
        <w:t>აღნიშნული</w:t>
      </w:r>
      <w:r>
        <w:rPr>
          <w:rFonts w:ascii="Sylfaen" w:eastAsia="Times New Roman" w:hAnsi="Sylfaen" w:cs="Arial"/>
          <w:b/>
          <w:color w:val="222222"/>
          <w:lang w:val="ka-GE"/>
        </w:rPr>
        <w:t xml:space="preserve"> </w:t>
      </w:r>
      <w:r w:rsidRPr="00CE3199">
        <w:rPr>
          <w:rFonts w:ascii="Sylfaen" w:eastAsia="Times New Roman" w:hAnsi="Sylfaen" w:cs="Arial"/>
          <w:b/>
          <w:color w:val="222222"/>
          <w:lang w:val="ka-GE"/>
        </w:rPr>
        <w:t>ფაქტორებისა და ჯერ კიდევ მაღალი გაურკვევლობის ფონზე, მონეტარული პოლიტიკის</w:t>
      </w:r>
      <w:r>
        <w:rPr>
          <w:rFonts w:ascii="Sylfaen" w:eastAsia="Times New Roman" w:hAnsi="Sylfaen" w:cs="Arial"/>
          <w:b/>
          <w:color w:val="222222"/>
          <w:lang w:val="ka-GE"/>
        </w:rPr>
        <w:t xml:space="preserve"> </w:t>
      </w:r>
      <w:r w:rsidRPr="00CE3199">
        <w:rPr>
          <w:rFonts w:ascii="Sylfaen" w:eastAsia="Times New Roman" w:hAnsi="Sylfaen" w:cs="Arial"/>
          <w:b/>
          <w:color w:val="222222"/>
          <w:lang w:val="ka-GE"/>
        </w:rPr>
        <w:t>კომიტეტმა განაკვეთი უცვლელად დატოვა.</w:t>
      </w:r>
      <w:r w:rsidR="009A5252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ერთობლივ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მოთხოვნაზე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პოზიტიურად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მოქმედებს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მნიშვნელოვანი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ფისკალური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სტიმული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,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მათ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შორის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,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იპოთეკური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სესხების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საპროცენტო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ხარჯის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ნაწილობრივი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სუბსიდირება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,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რასაც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,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ფაქტობრივად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,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მონეტარული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პოლიტიკის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შერბილების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მსგავსი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ეფექტი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აქვს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.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გამკაცრებული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მონეტარული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პოლიტიკიდან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ეტაპობრივი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გამოსვლა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 (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ნორმალიზაცია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)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მომავალში</w:t>
      </w:r>
      <w:proofErr w:type="spellEnd"/>
      <w:r w:rsidR="009A5252" w:rsidRPr="009A5252">
        <w:rPr>
          <w:rFonts w:ascii="Sylfaen" w:eastAsia="Times New Roman" w:hAnsi="Sylfaen" w:cs="Arial"/>
          <w:b/>
          <w:color w:val="222222"/>
        </w:rPr>
        <w:t xml:space="preserve"> </w:t>
      </w:r>
      <w:proofErr w:type="spellStart"/>
      <w:r w:rsidR="009A5252" w:rsidRPr="009A5252">
        <w:rPr>
          <w:rFonts w:ascii="Sylfaen" w:eastAsia="Times New Roman" w:hAnsi="Sylfaen" w:cs="Arial"/>
          <w:b/>
          <w:color w:val="222222"/>
        </w:rPr>
        <w:t>გაგრძელდება</w:t>
      </w:r>
      <w:proofErr w:type="spellEnd"/>
    </w:p>
    <w:p w14:paraId="67F31700" w14:textId="77777777" w:rsidR="00F33F91" w:rsidRPr="00A02442" w:rsidRDefault="00F33F91" w:rsidP="006C16DE">
      <w:pPr>
        <w:shd w:val="clear" w:color="auto" w:fill="FFFFFF"/>
        <w:spacing w:line="240" w:lineRule="auto"/>
        <w:jc w:val="both"/>
        <w:rPr>
          <w:rFonts w:ascii="Sylfaen" w:eastAsia="Times New Roman" w:hAnsi="Sylfaen" w:cs="Arial"/>
          <w:i/>
          <w:color w:val="222222"/>
        </w:rPr>
      </w:pPr>
    </w:p>
    <w:p w14:paraId="497D528F" w14:textId="2322F119" w:rsidR="002376B4" w:rsidRDefault="0029151F" w:rsidP="006C16DE">
      <w:pPr>
        <w:shd w:val="clear" w:color="auto" w:fill="FFFFFF"/>
        <w:spacing w:line="240" w:lineRule="auto"/>
        <w:jc w:val="both"/>
        <w:rPr>
          <w:noProof/>
        </w:rPr>
      </w:pPr>
      <w:r w:rsidRPr="00A574A5">
        <w:rPr>
          <w:noProof/>
        </w:rPr>
        <w:drawing>
          <wp:inline distT="0" distB="0" distL="0" distR="0" wp14:anchorId="03CAAC9A" wp14:editId="755AA0C3">
            <wp:extent cx="6534150" cy="2703830"/>
            <wp:effectExtent l="0" t="0" r="0" b="127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AB3D1CD8-F149-4E17-BB21-3498D42018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7E5F9D3" w14:textId="6D0D7BD6" w:rsidR="00757113" w:rsidRDefault="00757113" w:rsidP="006C16DE">
      <w:pPr>
        <w:shd w:val="clear" w:color="auto" w:fill="FFFFFF"/>
        <w:spacing w:line="240" w:lineRule="auto"/>
        <w:jc w:val="both"/>
        <w:rPr>
          <w:noProof/>
        </w:rPr>
      </w:pPr>
    </w:p>
    <w:tbl>
      <w:tblPr>
        <w:tblW w:w="11762" w:type="dxa"/>
        <w:tblInd w:w="-818" w:type="dxa"/>
        <w:tblLook w:val="04A0" w:firstRow="1" w:lastRow="0" w:firstColumn="1" w:lastColumn="0" w:noHBand="0" w:noVBand="1"/>
      </w:tblPr>
      <w:tblGrid>
        <w:gridCol w:w="3236"/>
        <w:gridCol w:w="564"/>
        <w:gridCol w:w="171"/>
        <w:gridCol w:w="7635"/>
        <w:gridCol w:w="156"/>
      </w:tblGrid>
      <w:tr w:rsidR="00C872D2" w14:paraId="145CAD58" w14:textId="77777777" w:rsidTr="00AB144D">
        <w:trPr>
          <w:trHeight w:val="481"/>
        </w:trPr>
        <w:tc>
          <w:tcPr>
            <w:tcW w:w="3971" w:type="dxa"/>
            <w:gridSpan w:val="3"/>
            <w:vAlign w:val="bottom"/>
            <w:hideMark/>
          </w:tcPr>
          <w:p w14:paraId="2C67D767" w14:textId="6C1DFC28" w:rsidR="00C872D2" w:rsidRDefault="00C872D2">
            <w:pPr>
              <w:spacing w:after="0" w:line="24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პროცენტული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ცვლილება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წინა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წლის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შესაბამის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თვესთან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შედარებით</w:t>
            </w:r>
            <w:proofErr w:type="spellEnd"/>
          </w:p>
        </w:tc>
        <w:tc>
          <w:tcPr>
            <w:tcW w:w="7791" w:type="dxa"/>
            <w:gridSpan w:val="2"/>
            <w:vAlign w:val="bottom"/>
            <w:hideMark/>
          </w:tcPr>
          <w:p w14:paraId="26BF4F94" w14:textId="5FC04A4D" w:rsidR="00C872D2" w:rsidRPr="00542763" w:rsidRDefault="00C872D2">
            <w:pPr>
              <w:spacing w:after="0" w:line="24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ka-GE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ჯგუფების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წვლილი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  <w:lang w:val="ka-GE"/>
              </w:rPr>
              <w:t>*</w:t>
            </w: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2020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წლის</w:t>
            </w:r>
            <w:proofErr w:type="spellEnd"/>
            <w:r w:rsidR="00AB144D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="00CE3199">
              <w:rPr>
                <w:rFonts w:ascii="Sylfaen" w:hAnsi="Sylfaen" w:cs="Arial"/>
                <w:b/>
                <w:bCs/>
                <w:sz w:val="16"/>
                <w:szCs w:val="16"/>
                <w:lang w:val="ka-GE"/>
              </w:rPr>
              <w:t>სექტემბერ</w:t>
            </w:r>
            <w:r w:rsidR="00AB144D">
              <w:rPr>
                <w:rFonts w:ascii="Sylfaen" w:hAnsi="Sylfaen" w:cs="Arial"/>
                <w:b/>
                <w:bCs/>
                <w:sz w:val="16"/>
                <w:szCs w:val="16"/>
                <w:lang w:val="ka-GE"/>
              </w:rPr>
              <w:t>ში</w:t>
            </w: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ინფლაციაში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წინა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წლის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შესაბამის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თვესთან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შედარებით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, (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სულ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="00CE3199">
              <w:rPr>
                <w:rFonts w:ascii="Sylfaen" w:hAnsi="Sylfaen" w:cs="Arial"/>
                <w:b/>
                <w:bCs/>
                <w:sz w:val="16"/>
                <w:szCs w:val="16"/>
              </w:rPr>
              <w:t>3.8</w:t>
            </w: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%)</w:t>
            </w:r>
            <w:r w:rsidR="00542763">
              <w:rPr>
                <w:rFonts w:ascii="Sylfaen" w:hAnsi="Sylfaen" w:cs="Arial"/>
                <w:b/>
                <w:bCs/>
                <w:sz w:val="16"/>
                <w:szCs w:val="16"/>
                <w:lang w:val="ka-GE"/>
              </w:rPr>
              <w:t xml:space="preserve"> </w:t>
            </w:r>
          </w:p>
        </w:tc>
      </w:tr>
      <w:tr w:rsidR="00C872D2" w14:paraId="5DB315C9" w14:textId="77777777" w:rsidTr="00AB144D">
        <w:trPr>
          <w:trHeight w:val="204"/>
        </w:trPr>
        <w:tc>
          <w:tcPr>
            <w:tcW w:w="3236" w:type="dxa"/>
            <w:noWrap/>
            <w:vAlign w:val="bottom"/>
            <w:hideMark/>
          </w:tcPr>
          <w:p w14:paraId="4272D4DF" w14:textId="4843C6C8" w:rsidR="00C872D2" w:rsidRDefault="00C872D2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"/>
            </w:tblGrid>
            <w:tr w:rsidR="00C872D2" w14:paraId="77C384BC" w14:textId="77777777" w:rsidTr="000B27D3">
              <w:trPr>
                <w:trHeight w:val="204"/>
                <w:tblCellSpacing w:w="0" w:type="dxa"/>
              </w:trPr>
              <w:tc>
                <w:tcPr>
                  <w:tcW w:w="502" w:type="dxa"/>
                  <w:vAlign w:val="center"/>
                  <w:hideMark/>
                </w:tcPr>
                <w:p w14:paraId="4A5D48ED" w14:textId="6DC95117" w:rsidR="00C872D2" w:rsidRDefault="00C872D2">
                  <w:pPr>
                    <w:spacing w:after="0" w:line="240" w:lineRule="auto"/>
                    <w:jc w:val="center"/>
                    <w:rPr>
                      <w:rFonts w:ascii="Sylfaen" w:hAnsi="Sylfaen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Sylfaen" w:hAnsi="Sylfaen" w:cs="Arial"/>
                      <w:b/>
                      <w:bCs/>
                      <w:sz w:val="16"/>
                      <w:szCs w:val="16"/>
                    </w:rPr>
                    <w:t>%</w:t>
                  </w:r>
                </w:p>
              </w:tc>
            </w:tr>
          </w:tbl>
          <w:p w14:paraId="22C81BEE" w14:textId="77777777" w:rsidR="00C872D2" w:rsidRDefault="00C872D2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91" w:type="dxa"/>
            <w:gridSpan w:val="2"/>
            <w:noWrap/>
            <w:vAlign w:val="bottom"/>
            <w:hideMark/>
          </w:tcPr>
          <w:p w14:paraId="71E44835" w14:textId="13FD7662" w:rsidR="00C872D2" w:rsidRDefault="00CE31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 wp14:anchorId="7DB350F5" wp14:editId="6335D28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-1270</wp:posOffset>
                  </wp:positionV>
                  <wp:extent cx="4429125" cy="2571750"/>
                  <wp:effectExtent l="0" t="0" r="0" b="0"/>
                  <wp:wrapNone/>
                  <wp:docPr id="9" name="Chart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E3199" w14:paraId="51B9918B" w14:textId="77777777" w:rsidTr="00830B4B">
        <w:trPr>
          <w:gridAfter w:val="1"/>
          <w:wAfter w:w="156" w:type="dxa"/>
          <w:trHeight w:val="291"/>
        </w:trPr>
        <w:tc>
          <w:tcPr>
            <w:tcW w:w="3236" w:type="dxa"/>
            <w:noWrap/>
            <w:vAlign w:val="bottom"/>
            <w:hideMark/>
          </w:tcPr>
          <w:p w14:paraId="3A5795AA" w14:textId="635E6BB6" w:rsidR="00CE3199" w:rsidRDefault="00CE3199" w:rsidP="00CE3199">
            <w:pPr>
              <w:spacing w:after="0" w:line="240" w:lineRule="auto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სურსათი</w:t>
            </w:r>
            <w:proofErr w:type="spellEnd"/>
            <w:r w:rsidRPr="00471B5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და</w:t>
            </w:r>
            <w:proofErr w:type="spellEnd"/>
            <w:r w:rsidRPr="00471B5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უალკოჰოლო</w:t>
            </w:r>
            <w:proofErr w:type="spellEnd"/>
            <w:r w:rsidRPr="00471B5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სასმელები</w:t>
            </w:r>
            <w:proofErr w:type="spellEnd"/>
          </w:p>
        </w:tc>
        <w:tc>
          <w:tcPr>
            <w:tcW w:w="564" w:type="dxa"/>
            <w:noWrap/>
            <w:vAlign w:val="bottom"/>
            <w:hideMark/>
          </w:tcPr>
          <w:p w14:paraId="4D1565D6" w14:textId="01656195" w:rsidR="00CE3199" w:rsidRPr="00FE461D" w:rsidRDefault="00CE3199" w:rsidP="00CE3199">
            <w:pPr>
              <w:spacing w:after="0" w:line="240" w:lineRule="auto"/>
              <w:jc w:val="right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64238A">
              <w:rPr>
                <w:rFonts w:ascii="Sylfaen" w:hAnsi="Sylfaen" w:cs="Arial"/>
                <w:sz w:val="16"/>
                <w:szCs w:val="16"/>
              </w:rPr>
              <w:t>6.3</w:t>
            </w:r>
          </w:p>
        </w:tc>
        <w:tc>
          <w:tcPr>
            <w:tcW w:w="7806" w:type="dxa"/>
            <w:gridSpan w:val="2"/>
            <w:vMerge w:val="restart"/>
            <w:noWrap/>
            <w:vAlign w:val="bottom"/>
            <w:hideMark/>
          </w:tcPr>
          <w:p w14:paraId="48F09CBB" w14:textId="55D9FB51" w:rsidR="00CE3199" w:rsidRDefault="00CE3199" w:rsidP="00CE3199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CE3199" w14:paraId="6A2CDCC2" w14:textId="77777777" w:rsidTr="00830B4B">
        <w:trPr>
          <w:gridAfter w:val="1"/>
          <w:wAfter w:w="156" w:type="dxa"/>
          <w:trHeight w:val="291"/>
        </w:trPr>
        <w:tc>
          <w:tcPr>
            <w:tcW w:w="3236" w:type="dxa"/>
            <w:noWrap/>
            <w:vAlign w:val="bottom"/>
            <w:hideMark/>
          </w:tcPr>
          <w:p w14:paraId="571152A4" w14:textId="32B761FF" w:rsidR="00CE3199" w:rsidRDefault="00CE3199" w:rsidP="00CE3199">
            <w:pPr>
              <w:spacing w:after="0" w:line="240" w:lineRule="auto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ალკოჰოლური</w:t>
            </w:r>
            <w:proofErr w:type="spellEnd"/>
            <w:r w:rsidRPr="00471B5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სასმელები</w:t>
            </w:r>
            <w:proofErr w:type="spellEnd"/>
            <w:r w:rsidRPr="00471B5C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თამბაქო</w:t>
            </w:r>
            <w:proofErr w:type="spellEnd"/>
          </w:p>
        </w:tc>
        <w:tc>
          <w:tcPr>
            <w:tcW w:w="564" w:type="dxa"/>
            <w:noWrap/>
            <w:vAlign w:val="bottom"/>
            <w:hideMark/>
          </w:tcPr>
          <w:p w14:paraId="4E9C52EA" w14:textId="77D91A1A" w:rsidR="00CE3199" w:rsidRPr="00FE461D" w:rsidRDefault="00CE3199" w:rsidP="00CE3199">
            <w:pPr>
              <w:spacing w:after="0" w:line="240" w:lineRule="auto"/>
              <w:jc w:val="right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64238A">
              <w:rPr>
                <w:rFonts w:ascii="Sylfaen" w:hAnsi="Sylfaen" w:cs="Arial"/>
                <w:sz w:val="16"/>
                <w:szCs w:val="16"/>
              </w:rPr>
              <w:t>8.9</w:t>
            </w:r>
          </w:p>
        </w:tc>
        <w:tc>
          <w:tcPr>
            <w:tcW w:w="7806" w:type="dxa"/>
            <w:gridSpan w:val="2"/>
            <w:vMerge/>
            <w:noWrap/>
            <w:vAlign w:val="bottom"/>
            <w:hideMark/>
          </w:tcPr>
          <w:p w14:paraId="5E25C614" w14:textId="0A6E930F" w:rsidR="00CE3199" w:rsidRDefault="00CE3199" w:rsidP="00CE3199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CE3199" w14:paraId="4771DA61" w14:textId="77777777" w:rsidTr="00830B4B">
        <w:trPr>
          <w:gridAfter w:val="1"/>
          <w:wAfter w:w="156" w:type="dxa"/>
          <w:trHeight w:val="291"/>
        </w:trPr>
        <w:tc>
          <w:tcPr>
            <w:tcW w:w="3236" w:type="dxa"/>
            <w:noWrap/>
            <w:vAlign w:val="bottom"/>
            <w:hideMark/>
          </w:tcPr>
          <w:p w14:paraId="561DE31B" w14:textId="57F68376" w:rsidR="00CE3199" w:rsidRDefault="00CE3199" w:rsidP="00CE3199">
            <w:pPr>
              <w:spacing w:after="0" w:line="240" w:lineRule="auto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ტანსაცმელი</w:t>
            </w:r>
            <w:proofErr w:type="spellEnd"/>
            <w:r w:rsidRPr="00471B5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და</w:t>
            </w:r>
            <w:proofErr w:type="spellEnd"/>
            <w:r w:rsidRPr="00471B5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ფეხსაცმელი</w:t>
            </w:r>
            <w:proofErr w:type="spellEnd"/>
          </w:p>
        </w:tc>
        <w:tc>
          <w:tcPr>
            <w:tcW w:w="564" w:type="dxa"/>
            <w:noWrap/>
            <w:vAlign w:val="bottom"/>
            <w:hideMark/>
          </w:tcPr>
          <w:p w14:paraId="539E5A79" w14:textId="39DB9DEE" w:rsidR="00CE3199" w:rsidRPr="00FE461D" w:rsidRDefault="00CE3199" w:rsidP="00CE3199">
            <w:pPr>
              <w:spacing w:after="0" w:line="240" w:lineRule="auto"/>
              <w:jc w:val="right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64238A">
              <w:rPr>
                <w:rFonts w:ascii="Sylfaen" w:hAnsi="Sylfaen" w:cs="Arial"/>
                <w:sz w:val="16"/>
                <w:szCs w:val="16"/>
              </w:rPr>
              <w:t>2.5</w:t>
            </w:r>
          </w:p>
        </w:tc>
        <w:tc>
          <w:tcPr>
            <w:tcW w:w="7806" w:type="dxa"/>
            <w:gridSpan w:val="2"/>
            <w:vMerge/>
            <w:noWrap/>
            <w:vAlign w:val="bottom"/>
            <w:hideMark/>
          </w:tcPr>
          <w:p w14:paraId="7D01C1B9" w14:textId="732F5BCA" w:rsidR="00CE3199" w:rsidRDefault="00CE3199" w:rsidP="00CE3199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CE3199" w14:paraId="7A7AEFB7" w14:textId="77777777" w:rsidTr="00830B4B">
        <w:trPr>
          <w:gridAfter w:val="1"/>
          <w:wAfter w:w="156" w:type="dxa"/>
          <w:trHeight w:val="291"/>
        </w:trPr>
        <w:tc>
          <w:tcPr>
            <w:tcW w:w="3236" w:type="dxa"/>
            <w:noWrap/>
            <w:vAlign w:val="bottom"/>
            <w:hideMark/>
          </w:tcPr>
          <w:p w14:paraId="75D3A4F6" w14:textId="19A0FD82" w:rsidR="00CE3199" w:rsidRDefault="00CE3199" w:rsidP="00CE3199">
            <w:pPr>
              <w:spacing w:after="0" w:line="240" w:lineRule="auto"/>
              <w:ind w:right="-219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საცხოვრებელი</w:t>
            </w:r>
            <w:proofErr w:type="spellEnd"/>
            <w:r w:rsidRPr="00471B5C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წყალი</w:t>
            </w:r>
            <w:proofErr w:type="spellEnd"/>
            <w:r w:rsidRPr="00471B5C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ელ.ენერგია</w:t>
            </w:r>
            <w:proofErr w:type="spellEnd"/>
            <w:r w:rsidRPr="00471B5C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აირი</w:t>
            </w:r>
            <w:proofErr w:type="spellEnd"/>
          </w:p>
        </w:tc>
        <w:tc>
          <w:tcPr>
            <w:tcW w:w="564" w:type="dxa"/>
            <w:noWrap/>
            <w:vAlign w:val="bottom"/>
            <w:hideMark/>
          </w:tcPr>
          <w:p w14:paraId="536C5685" w14:textId="626B375C" w:rsidR="00CE3199" w:rsidRPr="00FE461D" w:rsidRDefault="00CE3199" w:rsidP="00CE3199">
            <w:pPr>
              <w:spacing w:after="0" w:line="240" w:lineRule="auto"/>
              <w:jc w:val="right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64238A">
              <w:rPr>
                <w:rFonts w:ascii="Sylfaen" w:hAnsi="Sylfaen" w:cs="Arial"/>
                <w:sz w:val="16"/>
                <w:szCs w:val="16"/>
              </w:rPr>
              <w:t>1.6</w:t>
            </w:r>
          </w:p>
        </w:tc>
        <w:tc>
          <w:tcPr>
            <w:tcW w:w="7806" w:type="dxa"/>
            <w:gridSpan w:val="2"/>
            <w:vMerge/>
            <w:noWrap/>
            <w:vAlign w:val="bottom"/>
            <w:hideMark/>
          </w:tcPr>
          <w:p w14:paraId="7E400E8B" w14:textId="77777777" w:rsidR="00CE3199" w:rsidRDefault="00CE3199" w:rsidP="00CE3199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CE3199" w14:paraId="3BF357DB" w14:textId="77777777" w:rsidTr="00830B4B">
        <w:trPr>
          <w:gridAfter w:val="1"/>
          <w:wAfter w:w="156" w:type="dxa"/>
          <w:trHeight w:val="291"/>
        </w:trPr>
        <w:tc>
          <w:tcPr>
            <w:tcW w:w="3236" w:type="dxa"/>
            <w:noWrap/>
            <w:vAlign w:val="bottom"/>
            <w:hideMark/>
          </w:tcPr>
          <w:p w14:paraId="594B3E2F" w14:textId="35088B30" w:rsidR="00CE3199" w:rsidRDefault="00CE3199" w:rsidP="00CE3199">
            <w:pPr>
              <w:spacing w:after="0" w:line="240" w:lineRule="auto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ავეჯი</w:t>
            </w:r>
            <w:proofErr w:type="spellEnd"/>
            <w:r w:rsidRPr="00471B5C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საოჯახო</w:t>
            </w:r>
            <w:proofErr w:type="spellEnd"/>
            <w:r w:rsidRPr="00471B5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ნივთები</w:t>
            </w:r>
            <w:proofErr w:type="spellEnd"/>
            <w:r w:rsidRPr="00471B5C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სახლის</w:t>
            </w:r>
            <w:proofErr w:type="spellEnd"/>
            <w:r w:rsidRPr="00471B5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მოვლა</w:t>
            </w:r>
            <w:proofErr w:type="spellEnd"/>
          </w:p>
        </w:tc>
        <w:tc>
          <w:tcPr>
            <w:tcW w:w="564" w:type="dxa"/>
            <w:noWrap/>
            <w:vAlign w:val="bottom"/>
            <w:hideMark/>
          </w:tcPr>
          <w:p w14:paraId="369D70E9" w14:textId="602691D8" w:rsidR="00CE3199" w:rsidRPr="00FE461D" w:rsidRDefault="00CE3199" w:rsidP="00CE3199">
            <w:pPr>
              <w:spacing w:after="0" w:line="240" w:lineRule="auto"/>
              <w:jc w:val="right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64238A">
              <w:rPr>
                <w:rFonts w:ascii="Sylfaen" w:hAnsi="Sylfaen" w:cs="Arial"/>
                <w:sz w:val="16"/>
                <w:szCs w:val="16"/>
              </w:rPr>
              <w:t>8.4</w:t>
            </w:r>
          </w:p>
        </w:tc>
        <w:tc>
          <w:tcPr>
            <w:tcW w:w="7806" w:type="dxa"/>
            <w:gridSpan w:val="2"/>
            <w:vMerge/>
            <w:noWrap/>
            <w:vAlign w:val="bottom"/>
            <w:hideMark/>
          </w:tcPr>
          <w:p w14:paraId="51015A55" w14:textId="77777777" w:rsidR="00CE3199" w:rsidRDefault="00CE3199" w:rsidP="00CE3199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CE3199" w14:paraId="621EB0EA" w14:textId="77777777" w:rsidTr="00830B4B">
        <w:trPr>
          <w:gridAfter w:val="1"/>
          <w:wAfter w:w="156" w:type="dxa"/>
          <w:trHeight w:val="291"/>
        </w:trPr>
        <w:tc>
          <w:tcPr>
            <w:tcW w:w="3236" w:type="dxa"/>
            <w:noWrap/>
            <w:vAlign w:val="bottom"/>
            <w:hideMark/>
          </w:tcPr>
          <w:p w14:paraId="017E3265" w14:textId="0FFA0ADB" w:rsidR="00CE3199" w:rsidRDefault="00CE3199" w:rsidP="00CE3199">
            <w:pPr>
              <w:spacing w:after="0" w:line="240" w:lineRule="auto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ჯანმრთელობის</w:t>
            </w:r>
            <w:proofErr w:type="spellEnd"/>
            <w:r w:rsidRPr="00471B5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დაცვა</w:t>
            </w:r>
            <w:proofErr w:type="spellEnd"/>
          </w:p>
        </w:tc>
        <w:tc>
          <w:tcPr>
            <w:tcW w:w="564" w:type="dxa"/>
            <w:noWrap/>
            <w:vAlign w:val="bottom"/>
            <w:hideMark/>
          </w:tcPr>
          <w:p w14:paraId="61600B41" w14:textId="5A63D441" w:rsidR="00CE3199" w:rsidRPr="00FE461D" w:rsidRDefault="00CE3199" w:rsidP="00CE3199">
            <w:pPr>
              <w:spacing w:after="0" w:line="240" w:lineRule="auto"/>
              <w:jc w:val="right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64238A">
              <w:rPr>
                <w:rFonts w:ascii="Sylfaen" w:hAnsi="Sylfaen" w:cs="Arial"/>
                <w:sz w:val="16"/>
                <w:szCs w:val="16"/>
              </w:rPr>
              <w:t>7.5</w:t>
            </w:r>
          </w:p>
        </w:tc>
        <w:tc>
          <w:tcPr>
            <w:tcW w:w="7806" w:type="dxa"/>
            <w:gridSpan w:val="2"/>
            <w:vMerge/>
            <w:noWrap/>
            <w:vAlign w:val="bottom"/>
            <w:hideMark/>
          </w:tcPr>
          <w:p w14:paraId="3C9CB028" w14:textId="77777777" w:rsidR="00CE3199" w:rsidRDefault="00CE3199" w:rsidP="00CE3199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CE3199" w14:paraId="26CCCAC3" w14:textId="77777777" w:rsidTr="00830B4B">
        <w:trPr>
          <w:gridAfter w:val="1"/>
          <w:wAfter w:w="156" w:type="dxa"/>
          <w:trHeight w:val="291"/>
        </w:trPr>
        <w:tc>
          <w:tcPr>
            <w:tcW w:w="3236" w:type="dxa"/>
            <w:noWrap/>
            <w:vAlign w:val="bottom"/>
            <w:hideMark/>
          </w:tcPr>
          <w:p w14:paraId="4E75FEA9" w14:textId="3E839331" w:rsidR="00CE3199" w:rsidRDefault="00CE3199" w:rsidP="00CE3199">
            <w:pPr>
              <w:spacing w:after="0" w:line="240" w:lineRule="auto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ტრანსპორტი</w:t>
            </w:r>
            <w:proofErr w:type="spellEnd"/>
          </w:p>
        </w:tc>
        <w:tc>
          <w:tcPr>
            <w:tcW w:w="564" w:type="dxa"/>
            <w:noWrap/>
            <w:vAlign w:val="bottom"/>
            <w:hideMark/>
          </w:tcPr>
          <w:p w14:paraId="1FB78AB0" w14:textId="258B5857" w:rsidR="00CE3199" w:rsidRPr="00FE461D" w:rsidRDefault="00CE3199" w:rsidP="00CE3199">
            <w:pPr>
              <w:spacing w:after="0" w:line="240" w:lineRule="auto"/>
              <w:jc w:val="right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64238A">
              <w:rPr>
                <w:rFonts w:ascii="Sylfaen" w:hAnsi="Sylfaen" w:cs="Arial"/>
                <w:sz w:val="16"/>
                <w:szCs w:val="16"/>
              </w:rPr>
              <w:t>-7.0</w:t>
            </w:r>
          </w:p>
        </w:tc>
        <w:tc>
          <w:tcPr>
            <w:tcW w:w="7806" w:type="dxa"/>
            <w:gridSpan w:val="2"/>
            <w:vMerge/>
            <w:noWrap/>
            <w:vAlign w:val="bottom"/>
            <w:hideMark/>
          </w:tcPr>
          <w:p w14:paraId="5F504DFD" w14:textId="77777777" w:rsidR="00CE3199" w:rsidRDefault="00CE3199" w:rsidP="00CE3199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CE3199" w14:paraId="7CE8F972" w14:textId="77777777" w:rsidTr="00830B4B">
        <w:trPr>
          <w:gridAfter w:val="1"/>
          <w:wAfter w:w="156" w:type="dxa"/>
          <w:trHeight w:val="291"/>
        </w:trPr>
        <w:tc>
          <w:tcPr>
            <w:tcW w:w="3236" w:type="dxa"/>
            <w:noWrap/>
            <w:vAlign w:val="bottom"/>
            <w:hideMark/>
          </w:tcPr>
          <w:p w14:paraId="198B6B3E" w14:textId="0FC763BF" w:rsidR="00CE3199" w:rsidRDefault="00CE3199" w:rsidP="00CE3199">
            <w:pPr>
              <w:spacing w:after="0" w:line="240" w:lineRule="auto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კავშირგაბმულობა</w:t>
            </w:r>
            <w:proofErr w:type="spellEnd"/>
          </w:p>
        </w:tc>
        <w:tc>
          <w:tcPr>
            <w:tcW w:w="564" w:type="dxa"/>
            <w:noWrap/>
            <w:vAlign w:val="bottom"/>
            <w:hideMark/>
          </w:tcPr>
          <w:p w14:paraId="149DD92E" w14:textId="497E454A" w:rsidR="00CE3199" w:rsidRPr="00FE461D" w:rsidRDefault="00CE3199" w:rsidP="00CE3199">
            <w:pPr>
              <w:spacing w:after="0" w:line="240" w:lineRule="auto"/>
              <w:jc w:val="right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64238A">
              <w:rPr>
                <w:rFonts w:ascii="Sylfaen" w:hAnsi="Sylfaen" w:cs="Arial"/>
                <w:sz w:val="16"/>
                <w:szCs w:val="16"/>
              </w:rPr>
              <w:t>0.2</w:t>
            </w:r>
          </w:p>
        </w:tc>
        <w:tc>
          <w:tcPr>
            <w:tcW w:w="7806" w:type="dxa"/>
            <w:gridSpan w:val="2"/>
            <w:vMerge/>
            <w:noWrap/>
            <w:vAlign w:val="bottom"/>
            <w:hideMark/>
          </w:tcPr>
          <w:p w14:paraId="06A18145" w14:textId="77777777" w:rsidR="00CE3199" w:rsidRDefault="00CE3199" w:rsidP="00CE3199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CE3199" w14:paraId="2CF1BF43" w14:textId="77777777" w:rsidTr="00830B4B">
        <w:trPr>
          <w:gridAfter w:val="1"/>
          <w:wAfter w:w="156" w:type="dxa"/>
          <w:trHeight w:val="291"/>
        </w:trPr>
        <w:tc>
          <w:tcPr>
            <w:tcW w:w="3236" w:type="dxa"/>
            <w:noWrap/>
            <w:vAlign w:val="bottom"/>
            <w:hideMark/>
          </w:tcPr>
          <w:p w14:paraId="10B69243" w14:textId="139664C6" w:rsidR="00CE3199" w:rsidRDefault="00CE3199" w:rsidP="00CE3199">
            <w:pPr>
              <w:spacing w:after="0" w:line="240" w:lineRule="auto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დასვენება</w:t>
            </w:r>
            <w:proofErr w:type="spellEnd"/>
            <w:r w:rsidRPr="00471B5C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გართობა</w:t>
            </w:r>
            <w:proofErr w:type="spellEnd"/>
            <w:r w:rsidRPr="00471B5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და</w:t>
            </w:r>
            <w:proofErr w:type="spellEnd"/>
            <w:r w:rsidRPr="00471B5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კულტურა</w:t>
            </w:r>
            <w:proofErr w:type="spellEnd"/>
          </w:p>
        </w:tc>
        <w:tc>
          <w:tcPr>
            <w:tcW w:w="564" w:type="dxa"/>
            <w:noWrap/>
            <w:vAlign w:val="bottom"/>
            <w:hideMark/>
          </w:tcPr>
          <w:p w14:paraId="4715D3F4" w14:textId="69B51AAF" w:rsidR="00CE3199" w:rsidRPr="00FE461D" w:rsidRDefault="00CE3199" w:rsidP="00CE3199">
            <w:pPr>
              <w:spacing w:after="0" w:line="240" w:lineRule="auto"/>
              <w:jc w:val="right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64238A">
              <w:rPr>
                <w:rFonts w:ascii="Sylfaen" w:hAnsi="Sylfaen" w:cs="Arial"/>
                <w:sz w:val="16"/>
                <w:szCs w:val="16"/>
              </w:rPr>
              <w:t>-2.8</w:t>
            </w:r>
          </w:p>
        </w:tc>
        <w:tc>
          <w:tcPr>
            <w:tcW w:w="7806" w:type="dxa"/>
            <w:gridSpan w:val="2"/>
            <w:vMerge/>
            <w:noWrap/>
            <w:vAlign w:val="bottom"/>
            <w:hideMark/>
          </w:tcPr>
          <w:p w14:paraId="2B7119A6" w14:textId="77777777" w:rsidR="00CE3199" w:rsidRDefault="00CE3199" w:rsidP="00CE3199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CE3199" w14:paraId="0E03F4AE" w14:textId="77777777" w:rsidTr="00830B4B">
        <w:trPr>
          <w:gridAfter w:val="1"/>
          <w:wAfter w:w="156" w:type="dxa"/>
          <w:trHeight w:val="291"/>
        </w:trPr>
        <w:tc>
          <w:tcPr>
            <w:tcW w:w="3236" w:type="dxa"/>
            <w:noWrap/>
            <w:vAlign w:val="bottom"/>
            <w:hideMark/>
          </w:tcPr>
          <w:p w14:paraId="51432B88" w14:textId="5FA82E05" w:rsidR="00CE3199" w:rsidRDefault="00CE3199" w:rsidP="00CE3199">
            <w:pPr>
              <w:spacing w:after="0" w:line="240" w:lineRule="auto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განათლება</w:t>
            </w:r>
            <w:proofErr w:type="spellEnd"/>
          </w:p>
        </w:tc>
        <w:tc>
          <w:tcPr>
            <w:tcW w:w="564" w:type="dxa"/>
            <w:noWrap/>
            <w:vAlign w:val="bottom"/>
            <w:hideMark/>
          </w:tcPr>
          <w:p w14:paraId="18E9D11B" w14:textId="6471C0E5" w:rsidR="00CE3199" w:rsidRPr="00FE461D" w:rsidRDefault="00CE3199" w:rsidP="00CE3199">
            <w:pPr>
              <w:spacing w:after="0" w:line="240" w:lineRule="auto"/>
              <w:jc w:val="right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64238A">
              <w:rPr>
                <w:rFonts w:ascii="Sylfaen" w:hAnsi="Sylfaen" w:cs="Arial"/>
                <w:sz w:val="16"/>
                <w:szCs w:val="16"/>
              </w:rPr>
              <w:t>-0.7</w:t>
            </w:r>
          </w:p>
        </w:tc>
        <w:tc>
          <w:tcPr>
            <w:tcW w:w="7806" w:type="dxa"/>
            <w:gridSpan w:val="2"/>
            <w:vMerge/>
            <w:noWrap/>
            <w:vAlign w:val="bottom"/>
            <w:hideMark/>
          </w:tcPr>
          <w:p w14:paraId="5D07C456" w14:textId="77777777" w:rsidR="00CE3199" w:rsidRDefault="00CE3199" w:rsidP="00CE3199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CE3199" w14:paraId="0AD3F58F" w14:textId="77777777" w:rsidTr="00830B4B">
        <w:trPr>
          <w:gridAfter w:val="1"/>
          <w:wAfter w:w="156" w:type="dxa"/>
          <w:trHeight w:val="291"/>
        </w:trPr>
        <w:tc>
          <w:tcPr>
            <w:tcW w:w="3236" w:type="dxa"/>
            <w:noWrap/>
            <w:vAlign w:val="bottom"/>
            <w:hideMark/>
          </w:tcPr>
          <w:p w14:paraId="48CE7E18" w14:textId="6F7C072B" w:rsidR="00CE3199" w:rsidRDefault="00CE3199" w:rsidP="00CE3199">
            <w:pPr>
              <w:spacing w:after="0" w:line="240" w:lineRule="auto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სასტუმროები</w:t>
            </w:r>
            <w:proofErr w:type="spellEnd"/>
            <w:r w:rsidRPr="00471B5C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კაფეები</w:t>
            </w:r>
            <w:proofErr w:type="spellEnd"/>
            <w:r w:rsidRPr="00471B5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და</w:t>
            </w:r>
            <w:proofErr w:type="spellEnd"/>
            <w:r w:rsidRPr="00471B5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რესტორნები</w:t>
            </w:r>
            <w:proofErr w:type="spellEnd"/>
          </w:p>
        </w:tc>
        <w:tc>
          <w:tcPr>
            <w:tcW w:w="564" w:type="dxa"/>
            <w:noWrap/>
            <w:vAlign w:val="bottom"/>
            <w:hideMark/>
          </w:tcPr>
          <w:p w14:paraId="34C8321D" w14:textId="152F11BC" w:rsidR="00CE3199" w:rsidRPr="00FE461D" w:rsidRDefault="00CE3199" w:rsidP="00CE3199">
            <w:pPr>
              <w:spacing w:after="0" w:line="240" w:lineRule="auto"/>
              <w:jc w:val="right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64238A">
              <w:rPr>
                <w:rFonts w:ascii="Sylfaen" w:hAnsi="Sylfaen" w:cs="Arial"/>
                <w:sz w:val="16"/>
                <w:szCs w:val="16"/>
              </w:rPr>
              <w:t>5.7</w:t>
            </w:r>
          </w:p>
        </w:tc>
        <w:tc>
          <w:tcPr>
            <w:tcW w:w="7806" w:type="dxa"/>
            <w:gridSpan w:val="2"/>
            <w:vMerge/>
            <w:noWrap/>
            <w:vAlign w:val="bottom"/>
            <w:hideMark/>
          </w:tcPr>
          <w:p w14:paraId="7F3762BD" w14:textId="77777777" w:rsidR="00CE3199" w:rsidRDefault="00CE3199" w:rsidP="00CE3199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CE3199" w14:paraId="01F38C99" w14:textId="77777777" w:rsidTr="00830B4B">
        <w:trPr>
          <w:gridAfter w:val="1"/>
          <w:wAfter w:w="156" w:type="dxa"/>
          <w:trHeight w:val="291"/>
        </w:trPr>
        <w:tc>
          <w:tcPr>
            <w:tcW w:w="3236" w:type="dxa"/>
            <w:noWrap/>
            <w:vAlign w:val="bottom"/>
            <w:hideMark/>
          </w:tcPr>
          <w:p w14:paraId="00801D09" w14:textId="23C4EF5F" w:rsidR="00CE3199" w:rsidRDefault="00CE3199" w:rsidP="00CE3199">
            <w:pPr>
              <w:spacing w:after="0" w:line="240" w:lineRule="auto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სხვადასხვა</w:t>
            </w:r>
            <w:proofErr w:type="spellEnd"/>
            <w:r w:rsidRPr="00471B5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საქონელი</w:t>
            </w:r>
            <w:proofErr w:type="spellEnd"/>
            <w:r w:rsidRPr="00471B5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და</w:t>
            </w:r>
            <w:proofErr w:type="spellEnd"/>
            <w:r w:rsidRPr="00471B5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1B5C">
              <w:rPr>
                <w:rFonts w:ascii="Sylfaen" w:hAnsi="Sylfaen" w:cs="Arial"/>
                <w:sz w:val="16"/>
                <w:szCs w:val="16"/>
              </w:rPr>
              <w:t>მომსახურება</w:t>
            </w:r>
            <w:proofErr w:type="spellEnd"/>
          </w:p>
        </w:tc>
        <w:tc>
          <w:tcPr>
            <w:tcW w:w="564" w:type="dxa"/>
            <w:noWrap/>
            <w:vAlign w:val="bottom"/>
            <w:hideMark/>
          </w:tcPr>
          <w:p w14:paraId="4DE68A95" w14:textId="1B904EBE" w:rsidR="00CE3199" w:rsidRPr="00FE461D" w:rsidRDefault="00CE3199" w:rsidP="00CE3199">
            <w:pPr>
              <w:spacing w:after="0" w:line="240" w:lineRule="auto"/>
              <w:jc w:val="right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64238A">
              <w:rPr>
                <w:rFonts w:ascii="Sylfaen" w:hAnsi="Sylfaen" w:cs="Arial"/>
                <w:sz w:val="16"/>
                <w:szCs w:val="16"/>
              </w:rPr>
              <w:t>9.1</w:t>
            </w:r>
          </w:p>
        </w:tc>
        <w:tc>
          <w:tcPr>
            <w:tcW w:w="7806" w:type="dxa"/>
            <w:gridSpan w:val="2"/>
            <w:vMerge/>
            <w:noWrap/>
            <w:vAlign w:val="bottom"/>
            <w:hideMark/>
          </w:tcPr>
          <w:p w14:paraId="205F4555" w14:textId="77777777" w:rsidR="00CE3199" w:rsidRDefault="00CE3199" w:rsidP="00CE3199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CE3199" w14:paraId="77BD30A2" w14:textId="77777777" w:rsidTr="00830B4B">
        <w:trPr>
          <w:gridAfter w:val="1"/>
          <w:wAfter w:w="156" w:type="dxa"/>
          <w:trHeight w:val="233"/>
        </w:trPr>
        <w:tc>
          <w:tcPr>
            <w:tcW w:w="3236" w:type="dxa"/>
            <w:noWrap/>
            <w:vAlign w:val="bottom"/>
            <w:hideMark/>
          </w:tcPr>
          <w:p w14:paraId="77657E54" w14:textId="1A86D77E" w:rsidR="00CE3199" w:rsidRDefault="00CE3199" w:rsidP="00CE3199"/>
        </w:tc>
        <w:tc>
          <w:tcPr>
            <w:tcW w:w="564" w:type="dxa"/>
            <w:noWrap/>
            <w:vAlign w:val="bottom"/>
            <w:hideMark/>
          </w:tcPr>
          <w:p w14:paraId="0BAC57EE" w14:textId="77777777" w:rsidR="00CE3199" w:rsidRPr="00FE461D" w:rsidRDefault="00CE3199" w:rsidP="00CE3199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806" w:type="dxa"/>
            <w:gridSpan w:val="2"/>
            <w:vMerge/>
            <w:noWrap/>
            <w:vAlign w:val="bottom"/>
            <w:hideMark/>
          </w:tcPr>
          <w:p w14:paraId="6DB5EFCB" w14:textId="77777777" w:rsidR="00CE3199" w:rsidRDefault="00CE3199" w:rsidP="00CE31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E3199" w14:paraId="224E3280" w14:textId="77777777" w:rsidTr="00830B4B">
        <w:trPr>
          <w:gridAfter w:val="1"/>
          <w:wAfter w:w="156" w:type="dxa"/>
          <w:trHeight w:val="333"/>
        </w:trPr>
        <w:tc>
          <w:tcPr>
            <w:tcW w:w="3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FFFBAA7" w14:textId="6DD3F604" w:rsidR="00CE3199" w:rsidRDefault="00CE3199" w:rsidP="00CE3199">
            <w:pPr>
              <w:spacing w:after="0" w:line="240" w:lineRule="auto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proofErr w:type="spellStart"/>
            <w:r w:rsidRPr="00471B5C">
              <w:rPr>
                <w:rFonts w:ascii="Sylfaen" w:hAnsi="Sylfaen" w:cs="Arial"/>
                <w:b/>
                <w:bCs/>
                <w:sz w:val="16"/>
                <w:szCs w:val="16"/>
              </w:rPr>
              <w:t>ინფლაციის</w:t>
            </w:r>
            <w:proofErr w:type="spellEnd"/>
            <w:r w:rsidRPr="00471B5C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71B5C">
              <w:rPr>
                <w:rFonts w:ascii="Sylfaen" w:hAnsi="Sylfaen" w:cs="Arial"/>
                <w:b/>
                <w:bCs/>
                <w:sz w:val="16"/>
                <w:szCs w:val="16"/>
              </w:rPr>
              <w:t>დონე</w:t>
            </w:r>
            <w:proofErr w:type="spellEnd"/>
            <w:r w:rsidRPr="00471B5C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471B5C">
              <w:rPr>
                <w:rFonts w:ascii="Sylfaen" w:hAnsi="Sylfaen" w:cs="Arial"/>
                <w:b/>
                <w:bCs/>
                <w:sz w:val="16"/>
                <w:szCs w:val="16"/>
              </w:rPr>
              <w:t>სულ</w:t>
            </w:r>
            <w:proofErr w:type="spellEnd"/>
            <w:r w:rsidRPr="00471B5C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0A85FA1" w14:textId="754C7C7F" w:rsidR="00CE3199" w:rsidRPr="00FE461D" w:rsidRDefault="00CE3199" w:rsidP="00CE3199">
            <w:pPr>
              <w:spacing w:after="0" w:line="240" w:lineRule="auto"/>
              <w:jc w:val="center"/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</w:pPr>
            <w:r w:rsidRPr="0064238A">
              <w:rPr>
                <w:rFonts w:ascii="Sylfaen" w:hAnsi="Sylfaen" w:cs="Arial"/>
                <w:b/>
                <w:bCs/>
                <w:sz w:val="16"/>
                <w:szCs w:val="16"/>
              </w:rPr>
              <w:t>3.8</w:t>
            </w:r>
          </w:p>
        </w:tc>
        <w:tc>
          <w:tcPr>
            <w:tcW w:w="7806" w:type="dxa"/>
            <w:gridSpan w:val="2"/>
            <w:vAlign w:val="bottom"/>
            <w:hideMark/>
          </w:tcPr>
          <w:p w14:paraId="3430BAC0" w14:textId="77777777" w:rsidR="00CE3199" w:rsidRDefault="00CE3199" w:rsidP="00CE3199">
            <w:pPr>
              <w:spacing w:after="0" w:line="240" w:lineRule="auto"/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 xml:space="preserve">                                              </w:t>
            </w:r>
          </w:p>
          <w:p w14:paraId="5669577D" w14:textId="64E4AF94" w:rsidR="00CE3199" w:rsidRDefault="00CE3199" w:rsidP="00CE3199">
            <w:pPr>
              <w:spacing w:after="0" w:line="240" w:lineRule="auto"/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b/>
                <w:sz w:val="16"/>
                <w:szCs w:val="16"/>
              </w:rPr>
              <w:t>პროცენტული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</w:rPr>
              <w:t>პუნქტი</w:t>
            </w:r>
            <w:proofErr w:type="spellEnd"/>
          </w:p>
        </w:tc>
      </w:tr>
    </w:tbl>
    <w:p w14:paraId="2CF42082" w14:textId="5B2CBCDB" w:rsidR="00C872D2" w:rsidRDefault="00C872D2" w:rsidP="00C872D2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Sylfaen" w:hAnsi="Sylfaen" w:cs="Arial"/>
          <w:lang w:val="ka-GE" w:eastAsia="ru-RU"/>
        </w:rPr>
      </w:pPr>
    </w:p>
    <w:p w14:paraId="61A1F8E2" w14:textId="35C9D45E" w:rsidR="002616F2" w:rsidRDefault="002616F2" w:rsidP="00093D03">
      <w:pPr>
        <w:shd w:val="clear" w:color="auto" w:fill="FFFFFF"/>
        <w:spacing w:line="240" w:lineRule="auto"/>
        <w:ind w:left="-360" w:right="180" w:hanging="360"/>
        <w:jc w:val="both"/>
        <w:rPr>
          <w:noProof/>
          <w:lang w:val="ka-GE"/>
        </w:rPr>
      </w:pPr>
    </w:p>
    <w:p w14:paraId="533F38AE" w14:textId="0E372E94" w:rsidR="005C34B0" w:rsidRPr="005C34B0" w:rsidRDefault="005C34B0" w:rsidP="00093D03">
      <w:pPr>
        <w:shd w:val="clear" w:color="auto" w:fill="FFFFFF"/>
        <w:spacing w:line="240" w:lineRule="auto"/>
        <w:ind w:left="-360" w:right="180" w:hanging="360"/>
        <w:jc w:val="both"/>
        <w:rPr>
          <w:noProof/>
          <w:lang w:val="ka-GE"/>
        </w:rPr>
      </w:pPr>
    </w:p>
    <w:p w14:paraId="1DD5D08B" w14:textId="61AE2ACD" w:rsidR="00012EFF" w:rsidRDefault="00012EFF" w:rsidP="006C16DE">
      <w:pPr>
        <w:shd w:val="clear" w:color="auto" w:fill="FFFFFF"/>
        <w:spacing w:line="240" w:lineRule="auto"/>
        <w:jc w:val="both"/>
        <w:rPr>
          <w:rFonts w:ascii="Sylfaen" w:eastAsia="Times New Roman" w:hAnsi="Sylfaen" w:cs="Arial"/>
          <w:color w:val="222222"/>
        </w:rPr>
      </w:pPr>
    </w:p>
    <w:p w14:paraId="2EAE2130" w14:textId="2B47E092" w:rsidR="00B520BF" w:rsidRDefault="00757113" w:rsidP="006C16DE">
      <w:pPr>
        <w:shd w:val="clear" w:color="auto" w:fill="FFFFFF"/>
        <w:spacing w:line="240" w:lineRule="auto"/>
        <w:jc w:val="both"/>
        <w:rPr>
          <w:rFonts w:ascii="Sylfaen" w:eastAsia="Times New Roman" w:hAnsi="Sylfaen" w:cs="Arial"/>
          <w:color w:val="2222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7F1973" wp14:editId="65193D26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6496050" cy="6286500"/>
                <wp:effectExtent l="0" t="0" r="19050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6286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5F875C" w14:textId="77777777" w:rsidR="00757113" w:rsidRDefault="00757113" w:rsidP="00757113">
                            <w:pPr>
                              <w:shd w:val="clear" w:color="auto" w:fill="FFFFFF"/>
                              <w:spacing w:line="240" w:lineRule="auto"/>
                              <w:jc w:val="both"/>
                              <w:rPr>
                                <w:noProof/>
                              </w:rPr>
                            </w:pPr>
                          </w:p>
                          <w:p w14:paraId="4CD8C5F0" w14:textId="77777777" w:rsidR="00757113" w:rsidRPr="001014A4" w:rsidRDefault="00757113" w:rsidP="00757113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Sylfaen" w:eastAsia="Times New Roman" w:hAnsi="Sylfaen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1014A4">
                              <w:rPr>
                                <w:rFonts w:ascii="Sylfaen" w:eastAsia="Times New Roman" w:hAnsi="Sylfaen" w:cs="Arial"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>წლიურ ინფლაციაში ყველაზე მაღალი წვლილი შეიტანა შემდეგ ჯგუფებში ფასების დონის ზრდამ:</w:t>
                            </w:r>
                          </w:p>
                          <w:p w14:paraId="332E6925" w14:textId="2C3DFD4A" w:rsidR="00757113" w:rsidRPr="00231D91" w:rsidRDefault="00757113" w:rsidP="0075711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ind w:left="630" w:hanging="270"/>
                              <w:jc w:val="both"/>
                              <w:rPr>
                                <w:rFonts w:ascii="Sylfaen" w:eastAsia="Times New Roman" w:hAnsi="Sylfaen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სურსათსა და უალკოჰოლო სასმელების ჯგუფში ფასები გაიზარდა </w:t>
                            </w:r>
                            <w:r w:rsidR="00CE3199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</w:rPr>
                              <w:t>6.3</w:t>
                            </w:r>
                            <w:r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 პროცენტით და მისმა წვლილმა </w:t>
                            </w:r>
                            <w:r w:rsidRPr="001014A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>წლიურ ინფლ</w:t>
                            </w:r>
                            <w:r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აციაში </w:t>
                            </w:r>
                            <w:r w:rsidR="00CE3199">
                              <w:rPr>
                                <w:rFonts w:ascii="Sylfaen" w:eastAsia="Times New Roman" w:hAnsi="Sylfaen" w:cs="Arial"/>
                                <w:b/>
                                <w:sz w:val="19"/>
                                <w:szCs w:val="19"/>
                              </w:rPr>
                              <w:t>1.97</w:t>
                            </w:r>
                            <w:r w:rsidRPr="00A72CC6">
                              <w:rPr>
                                <w:rFonts w:ascii="Sylfaen" w:eastAsia="Times New Roman" w:hAnsi="Sylfaen" w:cs="Arial"/>
                                <w:b/>
                                <w:sz w:val="19"/>
                                <w:szCs w:val="19"/>
                                <w:lang w:val="ka-GE"/>
                              </w:rPr>
                              <w:t xml:space="preserve"> </w:t>
                            </w:r>
                            <w:r w:rsidRPr="001014A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>პ</w:t>
                            </w:r>
                            <w:r w:rsidRPr="001014A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</w:rPr>
                              <w:t>.</w:t>
                            </w:r>
                            <w:r w:rsidRPr="001014A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>პ</w:t>
                            </w:r>
                            <w:r w:rsidRPr="001014A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</w:rPr>
                              <w:t>.</w:t>
                            </w:r>
                            <w:r w:rsidRPr="001014A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 შეადგინა.</w:t>
                            </w:r>
                          </w:p>
                          <w:p w14:paraId="16848BEF" w14:textId="77777777" w:rsidR="00757113" w:rsidRDefault="00757113" w:rsidP="00757113">
                            <w:pPr>
                              <w:shd w:val="clear" w:color="auto" w:fill="FFFFFF"/>
                              <w:spacing w:after="0" w:line="240" w:lineRule="auto"/>
                              <w:ind w:left="1080"/>
                              <w:jc w:val="both"/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eastAsia="ru-RU"/>
                              </w:rPr>
                            </w:pPr>
                            <w:r w:rsidRPr="001014A4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 xml:space="preserve">ფასები გაიზარდა 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>შემდეგ ქვეჯგუფებზე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eastAsia="ru-RU"/>
                              </w:rPr>
                              <w:t xml:space="preserve"> </w:t>
                            </w:r>
                          </w:p>
                          <w:p w14:paraId="53B609FA" w14:textId="77777777" w:rsidR="00CE3199" w:rsidRPr="00CE3199" w:rsidRDefault="00CE3199" w:rsidP="0075711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Sylfaen" w:eastAsia="Times New Roman" w:hAnsi="Sylfaen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CE3199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>ყავა, ჩაი და კაკაო (14.4 პროცენტი)</w:t>
                            </w:r>
                          </w:p>
                          <w:p w14:paraId="2E113E77" w14:textId="77777777" w:rsidR="00CE3199" w:rsidRPr="00CE3199" w:rsidRDefault="00CE3199" w:rsidP="0075711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Sylfaen" w:eastAsia="Times New Roman" w:hAnsi="Sylfaen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CE3199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 xml:space="preserve"> თევზეული (11.7 პროცენტი)</w:t>
                            </w:r>
                          </w:p>
                          <w:p w14:paraId="7AD06877" w14:textId="77777777" w:rsidR="00CE3199" w:rsidRPr="00CE3199" w:rsidRDefault="00CE3199" w:rsidP="0075711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Sylfaen" w:eastAsia="Times New Roman" w:hAnsi="Sylfaen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CE3199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>ზეთი და ცხიმი (11.1 პროცენტი)</w:t>
                            </w:r>
                          </w:p>
                          <w:p w14:paraId="7F45B18C" w14:textId="77777777" w:rsidR="00E953E8" w:rsidRPr="00E953E8" w:rsidRDefault="00CE3199" w:rsidP="0075711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Sylfaen" w:eastAsia="Times New Roman" w:hAnsi="Sylfaen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CE3199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 xml:space="preserve"> პური და პურპროდუქტები (8.7 პროცენტი)</w:t>
                            </w:r>
                          </w:p>
                          <w:p w14:paraId="32F10F94" w14:textId="39C71477" w:rsidR="00E953E8" w:rsidRPr="00E953E8" w:rsidRDefault="00CE3199" w:rsidP="0075711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Sylfaen" w:eastAsia="Times New Roman" w:hAnsi="Sylfaen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CE3199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>ხილი და ყურძენი (8.2 პროცენტი)</w:t>
                            </w:r>
                          </w:p>
                          <w:p w14:paraId="6A33DCFE" w14:textId="77777777" w:rsidR="00E953E8" w:rsidRPr="00E953E8" w:rsidRDefault="00CE3199" w:rsidP="0075711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Sylfaen" w:eastAsia="Times New Roman" w:hAnsi="Sylfaen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CE3199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>რძე, ყველი და კვერცხი (6.1 პროცენტი)</w:t>
                            </w:r>
                          </w:p>
                          <w:p w14:paraId="4B141CCE" w14:textId="77777777" w:rsidR="00E953E8" w:rsidRPr="00E953E8" w:rsidRDefault="00CE3199" w:rsidP="0075711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Sylfaen" w:eastAsia="Times New Roman" w:hAnsi="Sylfaen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CE3199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>ხორცი და ხორცის პროდუქტები (5.7 პროცენტი)</w:t>
                            </w:r>
                          </w:p>
                          <w:p w14:paraId="1075FBAA" w14:textId="77777777" w:rsidR="00E953E8" w:rsidRPr="00E953E8" w:rsidRDefault="00CE3199" w:rsidP="0075711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Sylfaen" w:eastAsia="Times New Roman" w:hAnsi="Sylfaen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CE3199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>მინერალური და წყაროს წყალი, უალკოჰოლო სასმელები და ნატურალური წვენები (5.1 პროცენტი)</w:t>
                            </w:r>
                          </w:p>
                          <w:p w14:paraId="6E8F50E4" w14:textId="6A621965" w:rsidR="00757113" w:rsidRPr="00E953E8" w:rsidRDefault="00CE3199" w:rsidP="00577D9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Sylfaen" w:eastAsia="Times New Roman" w:hAnsi="Sylfaen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E953E8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>შაქარი, ჯემი და სხვა ტკბილეული (4.1 პროცენტი)</w:t>
                            </w:r>
                            <w:r w:rsidR="00757113" w:rsidRPr="00E953E8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 xml:space="preserve"> </w:t>
                            </w:r>
                          </w:p>
                          <w:p w14:paraId="50751966" w14:textId="5E47CB3F" w:rsidR="00E953E8" w:rsidRDefault="00E953E8" w:rsidP="00E953E8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Sylfaen" w:eastAsia="Times New Roman" w:hAnsi="Sylfaen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</w:p>
                          <w:p w14:paraId="0B802363" w14:textId="50277798" w:rsidR="00E953E8" w:rsidRPr="00A67CD4" w:rsidRDefault="00E953E8" w:rsidP="00E953E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Sylfaen" w:eastAsia="Times New Roman" w:hAnsi="Sylfaen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ჯანმრთელობის დაცვის </w:t>
                            </w:r>
                            <w:r w:rsidRPr="00A67CD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ჯგუფში ფასები გაიზარდა </w:t>
                            </w:r>
                            <w:r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7.5 </w:t>
                            </w:r>
                            <w:r w:rsidRPr="00A67CD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პროცენტით და მისმა წვლილმა წლიურ ინფლაციაში </w:t>
                            </w:r>
                            <w:r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>0.61</w:t>
                            </w:r>
                            <w:r w:rsidRPr="00A67CD4">
                              <w:rPr>
                                <w:rFonts w:ascii="Sylfaen" w:eastAsia="Times New Roman" w:hAnsi="Sylfaen" w:cs="Arial"/>
                                <w:b/>
                                <w:sz w:val="19"/>
                                <w:szCs w:val="19"/>
                                <w:lang w:val="ka-GE"/>
                              </w:rPr>
                              <w:t xml:space="preserve"> </w:t>
                            </w:r>
                            <w:r w:rsidRPr="00A67CD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>პ</w:t>
                            </w:r>
                            <w:r w:rsidRPr="00A67CD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</w:rPr>
                              <w:t>.</w:t>
                            </w:r>
                            <w:r w:rsidRPr="00A67CD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>პ</w:t>
                            </w:r>
                            <w:r w:rsidRPr="00A67CD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</w:rPr>
                              <w:t>.</w:t>
                            </w:r>
                            <w:r w:rsidRPr="00A67CD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 შეადგინა.</w:t>
                            </w:r>
                          </w:p>
                          <w:p w14:paraId="4DDA387F" w14:textId="77777777" w:rsidR="00E953E8" w:rsidRDefault="00E953E8" w:rsidP="00E953E8">
                            <w:pPr>
                              <w:shd w:val="clear" w:color="auto" w:fill="FFFFFF"/>
                              <w:spacing w:after="0" w:line="240" w:lineRule="auto"/>
                              <w:ind w:left="1080"/>
                              <w:jc w:val="both"/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eastAsia="ru-RU"/>
                              </w:rPr>
                            </w:pPr>
                            <w:r w:rsidRPr="001014A4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 xml:space="preserve">ფასები გაიზარდა 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>შემდეგ ქვეჯგუფებზე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eastAsia="ru-RU"/>
                              </w:rPr>
                              <w:t xml:space="preserve"> </w:t>
                            </w:r>
                          </w:p>
                          <w:p w14:paraId="318284D3" w14:textId="3EA3B626" w:rsidR="00E953E8" w:rsidRPr="00E953E8" w:rsidRDefault="00E953E8" w:rsidP="00E953E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Sylfaen" w:eastAsia="Times New Roman" w:hAnsi="Sylfaen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E953E8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>სამედიცინო მომსახურებ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>ა</w:t>
                            </w:r>
                            <w:r w:rsidRPr="00E953E8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 xml:space="preserve"> (12.0 პროცენტი)</w:t>
                            </w:r>
                          </w:p>
                          <w:p w14:paraId="034D2408" w14:textId="5340582D" w:rsidR="00E953E8" w:rsidRPr="00E953E8" w:rsidRDefault="00E953E8" w:rsidP="00E953E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Sylfaen" w:eastAsia="Times New Roman" w:hAnsi="Sylfaen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E953E8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>სამედიცინო პროდუქცი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>ა</w:t>
                            </w:r>
                            <w:r w:rsidRPr="00E953E8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>, აპარატურ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>ა</w:t>
                            </w:r>
                            <w:r w:rsidRPr="00E953E8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 xml:space="preserve"> და მოწყობილობ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>ა</w:t>
                            </w:r>
                            <w:r w:rsidRPr="00E953E8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 xml:space="preserve"> (9.4 პროცენტი)</w:t>
                            </w:r>
                          </w:p>
                          <w:p w14:paraId="0B1F265B" w14:textId="15E47861" w:rsidR="00757113" w:rsidRPr="00A67CD4" w:rsidRDefault="00757113" w:rsidP="0075711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Sylfaen" w:eastAsia="Times New Roman" w:hAnsi="Sylfaen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ალკოჰოლური სასმელებისა და თამბაქოს </w:t>
                            </w:r>
                            <w:r w:rsidRPr="00A67CD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ჯგუფში ფასები გაიზარდა </w:t>
                            </w:r>
                            <w:r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8.9 </w:t>
                            </w:r>
                            <w:r w:rsidRPr="00A67CD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პროცენტით და მისმა წვლილმა წლიურ ინფლაციაში </w:t>
                            </w:r>
                            <w:r w:rsidRPr="00A67CD4">
                              <w:rPr>
                                <w:rFonts w:ascii="Sylfaen" w:eastAsia="Times New Roman" w:hAnsi="Sylfaen" w:cs="Arial"/>
                                <w:b/>
                                <w:sz w:val="19"/>
                                <w:szCs w:val="19"/>
                                <w:lang w:val="ka-GE"/>
                              </w:rPr>
                              <w:t>0.</w:t>
                            </w:r>
                            <w:r w:rsidR="00E953E8">
                              <w:rPr>
                                <w:rFonts w:ascii="Sylfaen" w:eastAsia="Times New Roman" w:hAnsi="Sylfaen" w:cs="Arial"/>
                                <w:b/>
                                <w:sz w:val="19"/>
                                <w:szCs w:val="19"/>
                                <w:lang w:val="ka-GE"/>
                              </w:rPr>
                              <w:t>59</w:t>
                            </w:r>
                            <w:r w:rsidRPr="00A67CD4">
                              <w:rPr>
                                <w:rFonts w:ascii="Sylfaen" w:eastAsia="Times New Roman" w:hAnsi="Sylfaen" w:cs="Arial"/>
                                <w:b/>
                                <w:sz w:val="19"/>
                                <w:szCs w:val="19"/>
                                <w:lang w:val="ka-GE"/>
                              </w:rPr>
                              <w:t xml:space="preserve"> </w:t>
                            </w:r>
                            <w:r w:rsidRPr="00A67CD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>პ</w:t>
                            </w:r>
                            <w:r w:rsidRPr="00A67CD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</w:rPr>
                              <w:t>.</w:t>
                            </w:r>
                            <w:r w:rsidRPr="00A67CD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>პ</w:t>
                            </w:r>
                            <w:r w:rsidRPr="00A67CD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</w:rPr>
                              <w:t>.</w:t>
                            </w:r>
                            <w:r w:rsidRPr="00A67CD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 შეადგინა.</w:t>
                            </w:r>
                          </w:p>
                          <w:p w14:paraId="450F1759" w14:textId="77777777" w:rsidR="00757113" w:rsidRDefault="00757113" w:rsidP="00757113">
                            <w:pPr>
                              <w:shd w:val="clear" w:color="auto" w:fill="FFFFFF"/>
                              <w:spacing w:after="0" w:line="240" w:lineRule="auto"/>
                              <w:ind w:left="1080"/>
                              <w:jc w:val="both"/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eastAsia="ru-RU"/>
                              </w:rPr>
                            </w:pPr>
                            <w:r w:rsidRPr="001014A4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 xml:space="preserve">ფასები გაიზარდა 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>შემდეგ ქვეჯგუფებზე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eastAsia="ru-RU"/>
                              </w:rPr>
                              <w:t xml:space="preserve"> </w:t>
                            </w:r>
                          </w:p>
                          <w:p w14:paraId="6EFF8433" w14:textId="63512943" w:rsidR="00757113" w:rsidRDefault="00757113" w:rsidP="0075711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>თამბაქოს ნაწარმი (13.</w:t>
                            </w:r>
                            <w:r w:rsidR="00E953E8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>3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 xml:space="preserve"> პროცენტი)</w:t>
                            </w:r>
                          </w:p>
                          <w:p w14:paraId="5B7F94AF" w14:textId="5A64FFE4" w:rsidR="00757113" w:rsidRDefault="00757113" w:rsidP="0075711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>ალკოჰოლური სასმელები (5.</w:t>
                            </w:r>
                            <w:r w:rsidR="00E953E8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>1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 xml:space="preserve"> პროცენტი)</w:t>
                            </w:r>
                          </w:p>
                          <w:p w14:paraId="4877D6AA" w14:textId="77777777" w:rsidR="00757113" w:rsidRPr="00BC7585" w:rsidRDefault="00757113" w:rsidP="00757113">
                            <w:pPr>
                              <w:pStyle w:val="ListParagraph"/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Sylfaen" w:eastAsia="Times New Roman" w:hAnsi="Sylfaen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</w:p>
                          <w:p w14:paraId="38731079" w14:textId="0E7F66EA" w:rsidR="00757113" w:rsidRPr="00FE461D" w:rsidRDefault="00E953E8" w:rsidP="0075711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ind w:left="630" w:hanging="270"/>
                              <w:jc w:val="both"/>
                              <w:rPr>
                                <w:rFonts w:ascii="Sylfaen" w:eastAsia="Times New Roman" w:hAnsi="Sylfaen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>სხვადასხვა საქონლისა და მომსახურების</w:t>
                            </w:r>
                            <w:r w:rsidR="00757113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 ჯგუფში</w:t>
                            </w:r>
                            <w:r w:rsidR="00757113" w:rsidRPr="00757113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 </w:t>
                            </w:r>
                            <w:r w:rsidR="00757113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ფასები </w:t>
                            </w:r>
                            <w:r w:rsidR="00757113" w:rsidRPr="00757113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>გაიზარდა</w:t>
                            </w:r>
                            <w:r w:rsidR="00757113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 9.</w:t>
                            </w:r>
                            <w:r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>1</w:t>
                            </w:r>
                            <w:r w:rsidR="00757113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 პროცენტით და მისმა წვლილმა </w:t>
                            </w:r>
                            <w:r w:rsidR="00757113" w:rsidRPr="001014A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>წლიურ ინფლ</w:t>
                            </w:r>
                            <w:r w:rsidR="00757113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აციაში </w:t>
                            </w:r>
                            <w:r w:rsidR="00757113">
                              <w:rPr>
                                <w:rFonts w:ascii="Sylfaen" w:eastAsia="Times New Roman" w:hAnsi="Sylfaen" w:cs="Arial"/>
                                <w:b/>
                                <w:sz w:val="19"/>
                                <w:szCs w:val="19"/>
                                <w:lang w:val="ka-GE"/>
                              </w:rPr>
                              <w:t>0.5</w:t>
                            </w:r>
                            <w:r>
                              <w:rPr>
                                <w:rFonts w:ascii="Sylfaen" w:eastAsia="Times New Roman" w:hAnsi="Sylfaen" w:cs="Arial"/>
                                <w:b/>
                                <w:sz w:val="19"/>
                                <w:szCs w:val="19"/>
                                <w:lang w:val="ka-GE"/>
                              </w:rPr>
                              <w:t>1</w:t>
                            </w:r>
                            <w:r w:rsidR="00757113">
                              <w:rPr>
                                <w:rFonts w:ascii="Sylfaen" w:eastAsia="Times New Roman" w:hAnsi="Sylfaen" w:cs="Arial"/>
                                <w:b/>
                                <w:sz w:val="19"/>
                                <w:szCs w:val="19"/>
                                <w:lang w:val="ka-GE"/>
                              </w:rPr>
                              <w:t xml:space="preserve"> </w:t>
                            </w:r>
                            <w:r w:rsidR="00757113" w:rsidRPr="001014A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>პ</w:t>
                            </w:r>
                            <w:r w:rsidR="00757113" w:rsidRPr="001014A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</w:rPr>
                              <w:t>.</w:t>
                            </w:r>
                            <w:r w:rsidR="00757113" w:rsidRPr="001014A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>პ</w:t>
                            </w:r>
                            <w:r w:rsidR="00757113" w:rsidRPr="001014A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</w:rPr>
                              <w:t>.</w:t>
                            </w:r>
                            <w:r w:rsidR="00757113" w:rsidRPr="001014A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 შეადგინა.</w:t>
                            </w:r>
                          </w:p>
                          <w:p w14:paraId="314BCE32" w14:textId="3418D8EA" w:rsidR="00757113" w:rsidRDefault="00757113" w:rsidP="00757113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eastAsia="ru-RU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 xml:space="preserve">                       </w:t>
                            </w:r>
                            <w:r w:rsidRPr="00FE461D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 xml:space="preserve">ფასები </w:t>
                            </w:r>
                            <w:r w:rsidR="00E953E8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>გაიზარდა</w:t>
                            </w:r>
                            <w:r w:rsidRPr="00FE461D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 xml:space="preserve"> შემდეგ ქვეჯგუფზე</w:t>
                            </w:r>
                            <w:r w:rsidRPr="00FE461D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eastAsia="ru-RU"/>
                              </w:rPr>
                              <w:t xml:space="preserve"> </w:t>
                            </w:r>
                          </w:p>
                          <w:p w14:paraId="222966B2" w14:textId="77777777" w:rsidR="00E953E8" w:rsidRDefault="00E953E8" w:rsidP="00E953E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</w:pPr>
                            <w:r w:rsidRPr="00E953E8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>პირადი ნივთები, სხვა კატეგორიებში ჩაურთველი (30.3 პროცენტი)</w:t>
                            </w:r>
                          </w:p>
                          <w:p w14:paraId="51CE688C" w14:textId="583F833C" w:rsidR="00757113" w:rsidRPr="00757113" w:rsidRDefault="00E953E8" w:rsidP="00E953E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</w:pPr>
                            <w:r w:rsidRPr="00E953E8"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>პირადი ჰიგიენა (13.0 პროცენტი)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val="ka-GE" w:eastAsia="ru-RU"/>
                              </w:rPr>
                              <w:t xml:space="preserve"> </w:t>
                            </w:r>
                          </w:p>
                          <w:p w14:paraId="0FEB8254" w14:textId="64FFD63E" w:rsidR="00757113" w:rsidRPr="00FE461D" w:rsidRDefault="00757113" w:rsidP="0075711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after="0" w:line="240" w:lineRule="auto"/>
                              <w:ind w:left="630" w:hanging="270"/>
                              <w:jc w:val="both"/>
                              <w:rPr>
                                <w:rFonts w:ascii="Sylfaen" w:eastAsia="Times New Roman" w:hAnsi="Sylfaen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>ტრანსპორტის ჯგუფში</w:t>
                            </w:r>
                            <w:r w:rsidRPr="00757113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ფასები </w:t>
                            </w:r>
                            <w:r w:rsidRPr="00757113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u w:val="single"/>
                                <w:lang w:val="ka-GE"/>
                              </w:rPr>
                              <w:t>შემცირდა</w:t>
                            </w:r>
                            <w:r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 </w:t>
                            </w:r>
                            <w:r w:rsidR="00E953E8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>7.0</w:t>
                            </w:r>
                            <w:r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 პროცენტით და მისმა წვლილმა </w:t>
                            </w:r>
                            <w:r w:rsidRPr="001014A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>წლიურ ინფლ</w:t>
                            </w:r>
                            <w:r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>აციაში -</w:t>
                            </w:r>
                            <w:r w:rsidR="00E953E8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>0.87</w:t>
                            </w:r>
                            <w:r>
                              <w:rPr>
                                <w:rFonts w:ascii="Sylfaen" w:eastAsia="Times New Roman" w:hAnsi="Sylfaen" w:cs="Arial"/>
                                <w:b/>
                                <w:sz w:val="19"/>
                                <w:szCs w:val="19"/>
                                <w:lang w:val="ka-GE"/>
                              </w:rPr>
                              <w:t xml:space="preserve"> </w:t>
                            </w:r>
                            <w:r w:rsidRPr="001014A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>პ</w:t>
                            </w:r>
                            <w:r w:rsidRPr="001014A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</w:rPr>
                              <w:t>.</w:t>
                            </w:r>
                            <w:r w:rsidRPr="001014A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>პ</w:t>
                            </w:r>
                            <w:r w:rsidRPr="001014A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</w:rPr>
                              <w:t>.</w:t>
                            </w:r>
                            <w:r w:rsidRPr="001014A4"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  <w:t xml:space="preserve"> შეადგინა.</w:t>
                            </w:r>
                          </w:p>
                          <w:p w14:paraId="768D9D12" w14:textId="77777777" w:rsidR="00757113" w:rsidRPr="00757113" w:rsidRDefault="00757113" w:rsidP="00757113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Sylfaen" w:eastAsia="Times New Roman" w:hAnsi="Sylfaen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</w:p>
                          <w:p w14:paraId="31CFB00E" w14:textId="77777777" w:rsidR="00757113" w:rsidRDefault="00757113" w:rsidP="00757113">
                            <w:pPr>
                              <w:shd w:val="clear" w:color="auto" w:fill="FFFFFF"/>
                              <w:spacing w:after="0" w:line="240" w:lineRule="auto"/>
                              <w:ind w:left="1440"/>
                              <w:jc w:val="both"/>
                              <w:rPr>
                                <w:rFonts w:ascii="Sylfaen" w:eastAsia="Times New Roman" w:hAnsi="Sylfaen" w:cs="Arial"/>
                                <w:b/>
                                <w:color w:val="222222"/>
                                <w:sz w:val="19"/>
                                <w:szCs w:val="19"/>
                                <w:lang w:val="ka-GE"/>
                              </w:rPr>
                            </w:pPr>
                          </w:p>
                          <w:p w14:paraId="07A1CDF3" w14:textId="77777777" w:rsidR="00757113" w:rsidRPr="00BD43FA" w:rsidRDefault="00757113" w:rsidP="00757113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Sylfaen" w:hAnsi="Sylfaen" w:cs="Arial"/>
                                <w:i/>
                                <w:sz w:val="19"/>
                                <w:szCs w:val="19"/>
                                <w:lang w:eastAsia="ru-RU"/>
                              </w:rPr>
                            </w:pPr>
                          </w:p>
                          <w:p w14:paraId="656693FB" w14:textId="77777777" w:rsidR="00757113" w:rsidRPr="00541640" w:rsidRDefault="00757113" w:rsidP="00757113">
                            <w:pPr>
                              <w:shd w:val="clear" w:color="auto" w:fill="FFFFFF"/>
                              <w:spacing w:line="240" w:lineRule="auto"/>
                              <w:jc w:val="both"/>
                              <w:rPr>
                                <w:rFonts w:ascii="Sylfaen" w:eastAsia="Times New Roman" w:hAnsi="Sylfaen" w:cs="Arial"/>
                                <w:color w:val="2222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F197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22.5pt;width:511.5pt;height:49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" filled="f" strokeweight=".5pt">
                <v:textbox>
                  <w:txbxContent>
                    <w:p w14:paraId="555F875C" w14:textId="77777777" w:rsidR="00757113" w:rsidRDefault="00757113" w:rsidP="00757113">
                      <w:pPr>
                        <w:shd w:val="clear" w:color="auto" w:fill="FFFFFF"/>
                        <w:spacing w:line="240" w:lineRule="auto"/>
                        <w:jc w:val="both"/>
                        <w:rPr>
                          <w:noProof/>
                        </w:rPr>
                      </w:pPr>
                    </w:p>
                    <w:p w14:paraId="4CD8C5F0" w14:textId="77777777" w:rsidR="00757113" w:rsidRPr="001014A4" w:rsidRDefault="00757113" w:rsidP="00757113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Sylfaen" w:eastAsia="Times New Roman" w:hAnsi="Sylfaen" w:cs="Arial"/>
                          <w:color w:val="222222"/>
                          <w:sz w:val="19"/>
                          <w:szCs w:val="19"/>
                        </w:rPr>
                      </w:pPr>
                      <w:r w:rsidRPr="001014A4">
                        <w:rPr>
                          <w:rFonts w:ascii="Sylfaen" w:eastAsia="Times New Roman" w:hAnsi="Sylfaen" w:cs="Arial"/>
                          <w:color w:val="222222"/>
                          <w:sz w:val="19"/>
                          <w:szCs w:val="19"/>
                          <w:lang w:val="ka-GE"/>
                        </w:rPr>
                        <w:t>წლიურ ინფლაციაში ყველაზე მაღალი წვლილი შეიტანა შემდეგ ჯგუფებში ფასების დონის ზრდამ:</w:t>
                      </w:r>
                    </w:p>
                    <w:p w14:paraId="332E6925" w14:textId="2C3DFD4A" w:rsidR="00757113" w:rsidRPr="00231D91" w:rsidRDefault="00757113" w:rsidP="0075711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ind w:left="630" w:hanging="270"/>
                        <w:jc w:val="both"/>
                        <w:rPr>
                          <w:rFonts w:ascii="Sylfaen" w:eastAsia="Times New Roman" w:hAnsi="Sylfaen" w:cs="Arial"/>
                          <w:color w:val="222222"/>
                          <w:sz w:val="19"/>
                          <w:szCs w:val="19"/>
                        </w:rPr>
                      </w:pPr>
                      <w:r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სურსათსა და უალკოჰოლო სასმელების ჯგუფში ფასები გაიზარდა </w:t>
                      </w:r>
                      <w:r w:rsidR="00CE3199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</w:rPr>
                        <w:t>6.3</w:t>
                      </w:r>
                      <w:r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 პროცენტით და მისმა წვლილმა </w:t>
                      </w:r>
                      <w:r w:rsidRPr="001014A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>წლიურ ინფლ</w:t>
                      </w:r>
                      <w:r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აციაში </w:t>
                      </w:r>
                      <w:r w:rsidR="00CE3199">
                        <w:rPr>
                          <w:rFonts w:ascii="Sylfaen" w:eastAsia="Times New Roman" w:hAnsi="Sylfaen" w:cs="Arial"/>
                          <w:b/>
                          <w:sz w:val="19"/>
                          <w:szCs w:val="19"/>
                        </w:rPr>
                        <w:t>1.97</w:t>
                      </w:r>
                      <w:r w:rsidRPr="00A72CC6">
                        <w:rPr>
                          <w:rFonts w:ascii="Sylfaen" w:eastAsia="Times New Roman" w:hAnsi="Sylfaen" w:cs="Arial"/>
                          <w:b/>
                          <w:sz w:val="19"/>
                          <w:szCs w:val="19"/>
                          <w:lang w:val="ka-GE"/>
                        </w:rPr>
                        <w:t xml:space="preserve"> </w:t>
                      </w:r>
                      <w:r w:rsidRPr="001014A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>პ</w:t>
                      </w:r>
                      <w:r w:rsidRPr="001014A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</w:rPr>
                        <w:t>.</w:t>
                      </w:r>
                      <w:r w:rsidRPr="001014A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>პ</w:t>
                      </w:r>
                      <w:r w:rsidRPr="001014A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</w:rPr>
                        <w:t>.</w:t>
                      </w:r>
                      <w:r w:rsidRPr="001014A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 შეადგინა.</w:t>
                      </w:r>
                    </w:p>
                    <w:p w14:paraId="16848BEF" w14:textId="77777777" w:rsidR="00757113" w:rsidRDefault="00757113" w:rsidP="00757113">
                      <w:pPr>
                        <w:shd w:val="clear" w:color="auto" w:fill="FFFFFF"/>
                        <w:spacing w:after="0" w:line="240" w:lineRule="auto"/>
                        <w:ind w:left="1080"/>
                        <w:jc w:val="both"/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eastAsia="ru-RU"/>
                        </w:rPr>
                      </w:pPr>
                      <w:r w:rsidRPr="001014A4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 xml:space="preserve">ფასები გაიზარდა </w:t>
                      </w:r>
                      <w:r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>შემდეგ ქვეჯგუფებზე</w:t>
                      </w:r>
                      <w:r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eastAsia="ru-RU"/>
                        </w:rPr>
                        <w:t xml:space="preserve"> </w:t>
                      </w:r>
                    </w:p>
                    <w:p w14:paraId="53B609FA" w14:textId="77777777" w:rsidR="00CE3199" w:rsidRPr="00CE3199" w:rsidRDefault="00CE3199" w:rsidP="0075711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Sylfaen" w:eastAsia="Times New Roman" w:hAnsi="Sylfaen" w:cs="Arial"/>
                          <w:color w:val="222222"/>
                          <w:sz w:val="19"/>
                          <w:szCs w:val="19"/>
                        </w:rPr>
                      </w:pPr>
                      <w:r w:rsidRPr="00CE3199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>ყავა, ჩაი და კაკაო (14.4 პროცენტი)</w:t>
                      </w:r>
                    </w:p>
                    <w:p w14:paraId="2E113E77" w14:textId="77777777" w:rsidR="00CE3199" w:rsidRPr="00CE3199" w:rsidRDefault="00CE3199" w:rsidP="0075711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Sylfaen" w:eastAsia="Times New Roman" w:hAnsi="Sylfaen" w:cs="Arial"/>
                          <w:color w:val="222222"/>
                          <w:sz w:val="19"/>
                          <w:szCs w:val="19"/>
                        </w:rPr>
                      </w:pPr>
                      <w:r w:rsidRPr="00CE3199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 xml:space="preserve"> თევზეული (11.7 პროცენტი)</w:t>
                      </w:r>
                    </w:p>
                    <w:p w14:paraId="7AD06877" w14:textId="77777777" w:rsidR="00CE3199" w:rsidRPr="00CE3199" w:rsidRDefault="00CE3199" w:rsidP="0075711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Sylfaen" w:eastAsia="Times New Roman" w:hAnsi="Sylfaen" w:cs="Arial"/>
                          <w:color w:val="222222"/>
                          <w:sz w:val="19"/>
                          <w:szCs w:val="19"/>
                        </w:rPr>
                      </w:pPr>
                      <w:r w:rsidRPr="00CE3199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>ზეთი და ცხიმი (11.1 პროცენტი)</w:t>
                      </w:r>
                    </w:p>
                    <w:p w14:paraId="7F45B18C" w14:textId="77777777" w:rsidR="00E953E8" w:rsidRPr="00E953E8" w:rsidRDefault="00CE3199" w:rsidP="0075711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Sylfaen" w:eastAsia="Times New Roman" w:hAnsi="Sylfaen" w:cs="Arial"/>
                          <w:color w:val="222222"/>
                          <w:sz w:val="19"/>
                          <w:szCs w:val="19"/>
                        </w:rPr>
                      </w:pPr>
                      <w:r w:rsidRPr="00CE3199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 xml:space="preserve"> პური და პურპროდუქტები (8.7 პროცენტი)</w:t>
                      </w:r>
                    </w:p>
                    <w:p w14:paraId="32F10F94" w14:textId="39C71477" w:rsidR="00E953E8" w:rsidRPr="00E953E8" w:rsidRDefault="00CE3199" w:rsidP="0075711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Sylfaen" w:eastAsia="Times New Roman" w:hAnsi="Sylfaen" w:cs="Arial"/>
                          <w:color w:val="222222"/>
                          <w:sz w:val="19"/>
                          <w:szCs w:val="19"/>
                        </w:rPr>
                      </w:pPr>
                      <w:r w:rsidRPr="00CE3199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>ხილი და ყურძენი (8.2 პროცენტი)</w:t>
                      </w:r>
                    </w:p>
                    <w:p w14:paraId="6A33DCFE" w14:textId="77777777" w:rsidR="00E953E8" w:rsidRPr="00E953E8" w:rsidRDefault="00CE3199" w:rsidP="0075711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Sylfaen" w:eastAsia="Times New Roman" w:hAnsi="Sylfaen" w:cs="Arial"/>
                          <w:color w:val="222222"/>
                          <w:sz w:val="19"/>
                          <w:szCs w:val="19"/>
                        </w:rPr>
                      </w:pPr>
                      <w:r w:rsidRPr="00CE3199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>რძე, ყველი და კვერცხი (6.1 პროცენტი)</w:t>
                      </w:r>
                    </w:p>
                    <w:p w14:paraId="4B141CCE" w14:textId="77777777" w:rsidR="00E953E8" w:rsidRPr="00E953E8" w:rsidRDefault="00CE3199" w:rsidP="0075711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Sylfaen" w:eastAsia="Times New Roman" w:hAnsi="Sylfaen" w:cs="Arial"/>
                          <w:color w:val="222222"/>
                          <w:sz w:val="19"/>
                          <w:szCs w:val="19"/>
                        </w:rPr>
                      </w:pPr>
                      <w:r w:rsidRPr="00CE3199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>ხორცი და ხორცის პროდუქტები (5.7 პროცენტი)</w:t>
                      </w:r>
                    </w:p>
                    <w:p w14:paraId="1075FBAA" w14:textId="77777777" w:rsidR="00E953E8" w:rsidRPr="00E953E8" w:rsidRDefault="00CE3199" w:rsidP="0075711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Sylfaen" w:eastAsia="Times New Roman" w:hAnsi="Sylfaen" w:cs="Arial"/>
                          <w:color w:val="222222"/>
                          <w:sz w:val="19"/>
                          <w:szCs w:val="19"/>
                        </w:rPr>
                      </w:pPr>
                      <w:r w:rsidRPr="00CE3199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>მინერალური და წყაროს წყალი, უალკოჰოლო სასმელები და ნატურალური წვენები (5.1 პროცენტი)</w:t>
                      </w:r>
                    </w:p>
                    <w:p w14:paraId="6E8F50E4" w14:textId="6A621965" w:rsidR="00757113" w:rsidRPr="00E953E8" w:rsidRDefault="00CE3199" w:rsidP="00577D9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Sylfaen" w:eastAsia="Times New Roman" w:hAnsi="Sylfaen" w:cs="Arial"/>
                          <w:color w:val="222222"/>
                          <w:sz w:val="19"/>
                          <w:szCs w:val="19"/>
                        </w:rPr>
                      </w:pPr>
                      <w:r w:rsidRPr="00E953E8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>შაქარი, ჯემი და სხვა ტკბილეული (4.1 პროცენტი)</w:t>
                      </w:r>
                      <w:r w:rsidR="00757113" w:rsidRPr="00E953E8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 xml:space="preserve"> </w:t>
                      </w:r>
                    </w:p>
                    <w:p w14:paraId="50751966" w14:textId="5E47CB3F" w:rsidR="00E953E8" w:rsidRDefault="00E953E8" w:rsidP="00E953E8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Sylfaen" w:eastAsia="Times New Roman" w:hAnsi="Sylfaen" w:cs="Arial"/>
                          <w:color w:val="222222"/>
                          <w:sz w:val="19"/>
                          <w:szCs w:val="19"/>
                        </w:rPr>
                      </w:pPr>
                    </w:p>
                    <w:p w14:paraId="0B802363" w14:textId="50277798" w:rsidR="00E953E8" w:rsidRPr="00A67CD4" w:rsidRDefault="00E953E8" w:rsidP="00E953E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Sylfaen" w:eastAsia="Times New Roman" w:hAnsi="Sylfaen" w:cs="Arial"/>
                          <w:color w:val="222222"/>
                          <w:sz w:val="19"/>
                          <w:szCs w:val="19"/>
                        </w:rPr>
                      </w:pPr>
                      <w:r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ჯანმრთელობის დაცვის </w:t>
                      </w:r>
                      <w:r w:rsidRPr="00A67CD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ჯგუფში ფასები გაიზარდა </w:t>
                      </w:r>
                      <w:r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7.5 </w:t>
                      </w:r>
                      <w:r w:rsidRPr="00A67CD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პროცენტით და მისმა წვლილმა წლიურ ინფლაციაში </w:t>
                      </w:r>
                      <w:r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>0.61</w:t>
                      </w:r>
                      <w:r w:rsidRPr="00A67CD4">
                        <w:rPr>
                          <w:rFonts w:ascii="Sylfaen" w:eastAsia="Times New Roman" w:hAnsi="Sylfaen" w:cs="Arial"/>
                          <w:b/>
                          <w:sz w:val="19"/>
                          <w:szCs w:val="19"/>
                          <w:lang w:val="ka-GE"/>
                        </w:rPr>
                        <w:t xml:space="preserve"> </w:t>
                      </w:r>
                      <w:r w:rsidRPr="00A67CD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>პ</w:t>
                      </w:r>
                      <w:r w:rsidRPr="00A67CD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</w:rPr>
                        <w:t>.</w:t>
                      </w:r>
                      <w:r w:rsidRPr="00A67CD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>პ</w:t>
                      </w:r>
                      <w:r w:rsidRPr="00A67CD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</w:rPr>
                        <w:t>.</w:t>
                      </w:r>
                      <w:r w:rsidRPr="00A67CD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 შეადგინა.</w:t>
                      </w:r>
                    </w:p>
                    <w:p w14:paraId="4DDA387F" w14:textId="77777777" w:rsidR="00E953E8" w:rsidRDefault="00E953E8" w:rsidP="00E953E8">
                      <w:pPr>
                        <w:shd w:val="clear" w:color="auto" w:fill="FFFFFF"/>
                        <w:spacing w:after="0" w:line="240" w:lineRule="auto"/>
                        <w:ind w:left="1080"/>
                        <w:jc w:val="both"/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eastAsia="ru-RU"/>
                        </w:rPr>
                      </w:pPr>
                      <w:r w:rsidRPr="001014A4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 xml:space="preserve">ფასები გაიზარდა </w:t>
                      </w:r>
                      <w:r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>შემდეგ ქვეჯგუფებზე</w:t>
                      </w:r>
                      <w:r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eastAsia="ru-RU"/>
                        </w:rPr>
                        <w:t xml:space="preserve"> </w:t>
                      </w:r>
                    </w:p>
                    <w:p w14:paraId="318284D3" w14:textId="3EA3B626" w:rsidR="00E953E8" w:rsidRPr="00E953E8" w:rsidRDefault="00E953E8" w:rsidP="00E953E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Sylfaen" w:eastAsia="Times New Roman" w:hAnsi="Sylfaen" w:cs="Arial"/>
                          <w:color w:val="222222"/>
                          <w:sz w:val="19"/>
                          <w:szCs w:val="19"/>
                        </w:rPr>
                      </w:pPr>
                      <w:r w:rsidRPr="00E953E8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>სამედიცინო მომსახურებ</w:t>
                      </w:r>
                      <w:r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>ა</w:t>
                      </w:r>
                      <w:r w:rsidRPr="00E953E8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 xml:space="preserve"> (12.0 პროცენტი)</w:t>
                      </w:r>
                    </w:p>
                    <w:p w14:paraId="034D2408" w14:textId="5340582D" w:rsidR="00E953E8" w:rsidRPr="00E953E8" w:rsidRDefault="00E953E8" w:rsidP="00E953E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Sylfaen" w:eastAsia="Times New Roman" w:hAnsi="Sylfaen" w:cs="Arial"/>
                          <w:color w:val="222222"/>
                          <w:sz w:val="19"/>
                          <w:szCs w:val="19"/>
                        </w:rPr>
                      </w:pPr>
                      <w:r w:rsidRPr="00E953E8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>სამედიცინო პროდუქცი</w:t>
                      </w:r>
                      <w:r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>ა</w:t>
                      </w:r>
                      <w:r w:rsidRPr="00E953E8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>, აპარატურ</w:t>
                      </w:r>
                      <w:r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>ა</w:t>
                      </w:r>
                      <w:r w:rsidRPr="00E953E8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 xml:space="preserve"> და მოწყობილობ</w:t>
                      </w:r>
                      <w:r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>ა</w:t>
                      </w:r>
                      <w:r w:rsidRPr="00E953E8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 xml:space="preserve"> (9.4 პროცენტი)</w:t>
                      </w:r>
                    </w:p>
                    <w:p w14:paraId="0B1F265B" w14:textId="15E47861" w:rsidR="00757113" w:rsidRPr="00A67CD4" w:rsidRDefault="00757113" w:rsidP="0075711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Sylfaen" w:eastAsia="Times New Roman" w:hAnsi="Sylfaen" w:cs="Arial"/>
                          <w:color w:val="222222"/>
                          <w:sz w:val="19"/>
                          <w:szCs w:val="19"/>
                        </w:rPr>
                      </w:pPr>
                      <w:r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ალკოჰოლური სასმელებისა და თამბაქოს </w:t>
                      </w:r>
                      <w:r w:rsidRPr="00A67CD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ჯგუფში ფასები გაიზარდა </w:t>
                      </w:r>
                      <w:r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8.9 </w:t>
                      </w:r>
                      <w:r w:rsidRPr="00A67CD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პროცენტით და მისმა წვლილმა წლიურ ინფლაციაში </w:t>
                      </w:r>
                      <w:r w:rsidRPr="00A67CD4">
                        <w:rPr>
                          <w:rFonts w:ascii="Sylfaen" w:eastAsia="Times New Roman" w:hAnsi="Sylfaen" w:cs="Arial"/>
                          <w:b/>
                          <w:sz w:val="19"/>
                          <w:szCs w:val="19"/>
                          <w:lang w:val="ka-GE"/>
                        </w:rPr>
                        <w:t>0.</w:t>
                      </w:r>
                      <w:r w:rsidR="00E953E8">
                        <w:rPr>
                          <w:rFonts w:ascii="Sylfaen" w:eastAsia="Times New Roman" w:hAnsi="Sylfaen" w:cs="Arial"/>
                          <w:b/>
                          <w:sz w:val="19"/>
                          <w:szCs w:val="19"/>
                          <w:lang w:val="ka-GE"/>
                        </w:rPr>
                        <w:t>59</w:t>
                      </w:r>
                      <w:r w:rsidRPr="00A67CD4">
                        <w:rPr>
                          <w:rFonts w:ascii="Sylfaen" w:eastAsia="Times New Roman" w:hAnsi="Sylfaen" w:cs="Arial"/>
                          <w:b/>
                          <w:sz w:val="19"/>
                          <w:szCs w:val="19"/>
                          <w:lang w:val="ka-GE"/>
                        </w:rPr>
                        <w:t xml:space="preserve"> </w:t>
                      </w:r>
                      <w:r w:rsidRPr="00A67CD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>პ</w:t>
                      </w:r>
                      <w:r w:rsidRPr="00A67CD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</w:rPr>
                        <w:t>.</w:t>
                      </w:r>
                      <w:r w:rsidRPr="00A67CD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>პ</w:t>
                      </w:r>
                      <w:r w:rsidRPr="00A67CD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</w:rPr>
                        <w:t>.</w:t>
                      </w:r>
                      <w:r w:rsidRPr="00A67CD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 შეადგინა.</w:t>
                      </w:r>
                    </w:p>
                    <w:p w14:paraId="450F1759" w14:textId="77777777" w:rsidR="00757113" w:rsidRDefault="00757113" w:rsidP="00757113">
                      <w:pPr>
                        <w:shd w:val="clear" w:color="auto" w:fill="FFFFFF"/>
                        <w:spacing w:after="0" w:line="240" w:lineRule="auto"/>
                        <w:ind w:left="1080"/>
                        <w:jc w:val="both"/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eastAsia="ru-RU"/>
                        </w:rPr>
                      </w:pPr>
                      <w:r w:rsidRPr="001014A4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 xml:space="preserve">ფასები გაიზარდა </w:t>
                      </w:r>
                      <w:r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>შემდეგ ქვეჯგუფებზე</w:t>
                      </w:r>
                      <w:r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eastAsia="ru-RU"/>
                        </w:rPr>
                        <w:t xml:space="preserve"> </w:t>
                      </w:r>
                    </w:p>
                    <w:p w14:paraId="6EFF8433" w14:textId="63512943" w:rsidR="00757113" w:rsidRDefault="00757113" w:rsidP="0075711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</w:pPr>
                      <w:r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>თამბაქოს ნაწარმი (13.</w:t>
                      </w:r>
                      <w:r w:rsidR="00E953E8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>3</w:t>
                      </w:r>
                      <w:r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 xml:space="preserve"> პროცენტი)</w:t>
                      </w:r>
                    </w:p>
                    <w:p w14:paraId="5B7F94AF" w14:textId="5A64FFE4" w:rsidR="00757113" w:rsidRDefault="00757113" w:rsidP="0075711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</w:pPr>
                      <w:r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>ალკოჰოლური სასმელები (5.</w:t>
                      </w:r>
                      <w:r w:rsidR="00E953E8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>1</w:t>
                      </w:r>
                      <w:r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 xml:space="preserve"> პროცენტი)</w:t>
                      </w:r>
                    </w:p>
                    <w:p w14:paraId="4877D6AA" w14:textId="77777777" w:rsidR="00757113" w:rsidRPr="00BC7585" w:rsidRDefault="00757113" w:rsidP="00757113">
                      <w:pPr>
                        <w:pStyle w:val="ListParagraph"/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Sylfaen" w:eastAsia="Times New Roman" w:hAnsi="Sylfaen" w:cs="Arial"/>
                          <w:color w:val="222222"/>
                          <w:sz w:val="19"/>
                          <w:szCs w:val="19"/>
                        </w:rPr>
                      </w:pPr>
                    </w:p>
                    <w:p w14:paraId="38731079" w14:textId="0E7F66EA" w:rsidR="00757113" w:rsidRPr="00FE461D" w:rsidRDefault="00E953E8" w:rsidP="0075711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ind w:left="630" w:hanging="270"/>
                        <w:jc w:val="both"/>
                        <w:rPr>
                          <w:rFonts w:ascii="Sylfaen" w:eastAsia="Times New Roman" w:hAnsi="Sylfaen" w:cs="Arial"/>
                          <w:color w:val="222222"/>
                          <w:sz w:val="19"/>
                          <w:szCs w:val="19"/>
                        </w:rPr>
                      </w:pPr>
                      <w:r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>სხვადასხვა საქონლისა და მომსახურების</w:t>
                      </w:r>
                      <w:r w:rsidR="00757113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 ჯგუფში</w:t>
                      </w:r>
                      <w:r w:rsidR="00757113" w:rsidRPr="00757113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 </w:t>
                      </w:r>
                      <w:r w:rsidR="00757113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ფასები </w:t>
                      </w:r>
                      <w:r w:rsidR="00757113" w:rsidRPr="00757113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>გაიზარდა</w:t>
                      </w:r>
                      <w:r w:rsidR="00757113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 9.</w:t>
                      </w:r>
                      <w:r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>1</w:t>
                      </w:r>
                      <w:r w:rsidR="00757113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 პროცენტით და მისმა წვლილმა </w:t>
                      </w:r>
                      <w:r w:rsidR="00757113" w:rsidRPr="001014A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>წლიურ ინფლ</w:t>
                      </w:r>
                      <w:r w:rsidR="00757113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აციაში </w:t>
                      </w:r>
                      <w:r w:rsidR="00757113">
                        <w:rPr>
                          <w:rFonts w:ascii="Sylfaen" w:eastAsia="Times New Roman" w:hAnsi="Sylfaen" w:cs="Arial"/>
                          <w:b/>
                          <w:sz w:val="19"/>
                          <w:szCs w:val="19"/>
                          <w:lang w:val="ka-GE"/>
                        </w:rPr>
                        <w:t>0.5</w:t>
                      </w:r>
                      <w:r>
                        <w:rPr>
                          <w:rFonts w:ascii="Sylfaen" w:eastAsia="Times New Roman" w:hAnsi="Sylfaen" w:cs="Arial"/>
                          <w:b/>
                          <w:sz w:val="19"/>
                          <w:szCs w:val="19"/>
                          <w:lang w:val="ka-GE"/>
                        </w:rPr>
                        <w:t>1</w:t>
                      </w:r>
                      <w:r w:rsidR="00757113">
                        <w:rPr>
                          <w:rFonts w:ascii="Sylfaen" w:eastAsia="Times New Roman" w:hAnsi="Sylfaen" w:cs="Arial"/>
                          <w:b/>
                          <w:sz w:val="19"/>
                          <w:szCs w:val="19"/>
                          <w:lang w:val="ka-GE"/>
                        </w:rPr>
                        <w:t xml:space="preserve"> </w:t>
                      </w:r>
                      <w:r w:rsidR="00757113" w:rsidRPr="001014A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>პ</w:t>
                      </w:r>
                      <w:r w:rsidR="00757113" w:rsidRPr="001014A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</w:rPr>
                        <w:t>.</w:t>
                      </w:r>
                      <w:r w:rsidR="00757113" w:rsidRPr="001014A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>პ</w:t>
                      </w:r>
                      <w:r w:rsidR="00757113" w:rsidRPr="001014A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</w:rPr>
                        <w:t>.</w:t>
                      </w:r>
                      <w:r w:rsidR="00757113" w:rsidRPr="001014A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 შეადგინა.</w:t>
                      </w:r>
                    </w:p>
                    <w:p w14:paraId="314BCE32" w14:textId="3418D8EA" w:rsidR="00757113" w:rsidRDefault="00757113" w:rsidP="00757113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eastAsia="ru-RU"/>
                        </w:rPr>
                      </w:pPr>
                      <w:r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 xml:space="preserve">                       </w:t>
                      </w:r>
                      <w:r w:rsidRPr="00FE461D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 xml:space="preserve">ფასები </w:t>
                      </w:r>
                      <w:r w:rsidR="00E953E8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>გაიზარდა</w:t>
                      </w:r>
                      <w:r w:rsidRPr="00FE461D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 xml:space="preserve"> შემდეგ ქვეჯგუფზე</w:t>
                      </w:r>
                      <w:r w:rsidRPr="00FE461D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eastAsia="ru-RU"/>
                        </w:rPr>
                        <w:t xml:space="preserve"> </w:t>
                      </w:r>
                    </w:p>
                    <w:p w14:paraId="222966B2" w14:textId="77777777" w:rsidR="00E953E8" w:rsidRDefault="00E953E8" w:rsidP="00E953E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</w:pPr>
                      <w:r w:rsidRPr="00E953E8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>პირადი ნივთები, სხვა კატეგორიებში ჩაურთველი (30.3 პროცენტი)</w:t>
                      </w:r>
                    </w:p>
                    <w:p w14:paraId="51CE688C" w14:textId="583F833C" w:rsidR="00757113" w:rsidRPr="00757113" w:rsidRDefault="00E953E8" w:rsidP="00E953E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</w:pPr>
                      <w:r w:rsidRPr="00E953E8"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>პირადი ჰიგიენა (13.0 პროცენტი)</w:t>
                      </w:r>
                      <w:r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val="ka-GE" w:eastAsia="ru-RU"/>
                        </w:rPr>
                        <w:t xml:space="preserve"> </w:t>
                      </w:r>
                    </w:p>
                    <w:p w14:paraId="0FEB8254" w14:textId="64FFD63E" w:rsidR="00757113" w:rsidRPr="00FE461D" w:rsidRDefault="00757113" w:rsidP="0075711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after="0" w:line="240" w:lineRule="auto"/>
                        <w:ind w:left="630" w:hanging="270"/>
                        <w:jc w:val="both"/>
                        <w:rPr>
                          <w:rFonts w:ascii="Sylfaen" w:eastAsia="Times New Roman" w:hAnsi="Sylfaen" w:cs="Arial"/>
                          <w:color w:val="222222"/>
                          <w:sz w:val="19"/>
                          <w:szCs w:val="19"/>
                        </w:rPr>
                      </w:pPr>
                      <w:r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>ტრანსპორტის ჯგუფში</w:t>
                      </w:r>
                      <w:r w:rsidRPr="00757113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 </w:t>
                      </w:r>
                      <w:r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ფასები </w:t>
                      </w:r>
                      <w:r w:rsidRPr="00757113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u w:val="single"/>
                          <w:lang w:val="ka-GE"/>
                        </w:rPr>
                        <w:t>შემცირდა</w:t>
                      </w:r>
                      <w:r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 </w:t>
                      </w:r>
                      <w:r w:rsidR="00E953E8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>7.0</w:t>
                      </w:r>
                      <w:r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 პროცენტით და მისმა წვლილმა </w:t>
                      </w:r>
                      <w:r w:rsidRPr="001014A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>წლიურ ინფლ</w:t>
                      </w:r>
                      <w:r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>აციაში -</w:t>
                      </w:r>
                      <w:r w:rsidR="00E953E8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>0.87</w:t>
                      </w:r>
                      <w:r>
                        <w:rPr>
                          <w:rFonts w:ascii="Sylfaen" w:eastAsia="Times New Roman" w:hAnsi="Sylfaen" w:cs="Arial"/>
                          <w:b/>
                          <w:sz w:val="19"/>
                          <w:szCs w:val="19"/>
                          <w:lang w:val="ka-GE"/>
                        </w:rPr>
                        <w:t xml:space="preserve"> </w:t>
                      </w:r>
                      <w:r w:rsidRPr="001014A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>პ</w:t>
                      </w:r>
                      <w:r w:rsidRPr="001014A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</w:rPr>
                        <w:t>.</w:t>
                      </w:r>
                      <w:r w:rsidRPr="001014A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>პ</w:t>
                      </w:r>
                      <w:r w:rsidRPr="001014A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</w:rPr>
                        <w:t>.</w:t>
                      </w:r>
                      <w:r w:rsidRPr="001014A4"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  <w:t xml:space="preserve"> შეადგინა.</w:t>
                      </w:r>
                    </w:p>
                    <w:p w14:paraId="768D9D12" w14:textId="77777777" w:rsidR="00757113" w:rsidRPr="00757113" w:rsidRDefault="00757113" w:rsidP="00757113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Sylfaen" w:eastAsia="Times New Roman" w:hAnsi="Sylfaen" w:cs="Arial"/>
                          <w:color w:val="222222"/>
                          <w:sz w:val="19"/>
                          <w:szCs w:val="19"/>
                        </w:rPr>
                      </w:pPr>
                    </w:p>
                    <w:p w14:paraId="31CFB00E" w14:textId="77777777" w:rsidR="00757113" w:rsidRDefault="00757113" w:rsidP="00757113">
                      <w:pPr>
                        <w:shd w:val="clear" w:color="auto" w:fill="FFFFFF"/>
                        <w:spacing w:after="0" w:line="240" w:lineRule="auto"/>
                        <w:ind w:left="1440"/>
                        <w:jc w:val="both"/>
                        <w:rPr>
                          <w:rFonts w:ascii="Sylfaen" w:eastAsia="Times New Roman" w:hAnsi="Sylfaen" w:cs="Arial"/>
                          <w:b/>
                          <w:color w:val="222222"/>
                          <w:sz w:val="19"/>
                          <w:szCs w:val="19"/>
                          <w:lang w:val="ka-GE"/>
                        </w:rPr>
                      </w:pPr>
                    </w:p>
                    <w:p w14:paraId="07A1CDF3" w14:textId="77777777" w:rsidR="00757113" w:rsidRPr="00BD43FA" w:rsidRDefault="00757113" w:rsidP="00757113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Sylfaen" w:hAnsi="Sylfaen" w:cs="Arial"/>
                          <w:i/>
                          <w:sz w:val="19"/>
                          <w:szCs w:val="19"/>
                          <w:lang w:eastAsia="ru-RU"/>
                        </w:rPr>
                      </w:pPr>
                    </w:p>
                    <w:p w14:paraId="656693FB" w14:textId="77777777" w:rsidR="00757113" w:rsidRPr="00541640" w:rsidRDefault="00757113" w:rsidP="00757113">
                      <w:pPr>
                        <w:shd w:val="clear" w:color="auto" w:fill="FFFFFF"/>
                        <w:spacing w:line="240" w:lineRule="auto"/>
                        <w:jc w:val="both"/>
                        <w:rPr>
                          <w:rFonts w:ascii="Sylfaen" w:eastAsia="Times New Roman" w:hAnsi="Sylfaen" w:cs="Arial"/>
                          <w:color w:val="2222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520BF" w:rsidSect="00867150">
      <w:pgSz w:w="12240" w:h="15840"/>
      <w:pgMar w:top="99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46C0A" w14:textId="77777777" w:rsidR="000347D8" w:rsidRDefault="000347D8" w:rsidP="00125290">
      <w:pPr>
        <w:spacing w:after="0" w:line="240" w:lineRule="auto"/>
      </w:pPr>
      <w:r>
        <w:separator/>
      </w:r>
    </w:p>
  </w:endnote>
  <w:endnote w:type="continuationSeparator" w:id="0">
    <w:p w14:paraId="13CB645A" w14:textId="77777777" w:rsidR="000347D8" w:rsidRDefault="000347D8" w:rsidP="0012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სყ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C028A" w14:textId="77777777" w:rsidR="000347D8" w:rsidRDefault="000347D8" w:rsidP="00125290">
      <w:pPr>
        <w:spacing w:after="0" w:line="240" w:lineRule="auto"/>
      </w:pPr>
      <w:r>
        <w:separator/>
      </w:r>
    </w:p>
  </w:footnote>
  <w:footnote w:type="continuationSeparator" w:id="0">
    <w:p w14:paraId="2496F204" w14:textId="77777777" w:rsidR="000347D8" w:rsidRDefault="000347D8" w:rsidP="00125290">
      <w:pPr>
        <w:spacing w:after="0" w:line="240" w:lineRule="auto"/>
      </w:pPr>
      <w:r>
        <w:continuationSeparator/>
      </w:r>
    </w:p>
  </w:footnote>
  <w:footnote w:id="1">
    <w:p w14:paraId="611515F7" w14:textId="77777777" w:rsidR="00B44814" w:rsidRPr="00612D8C" w:rsidRDefault="0036275C" w:rsidP="00612D8C">
      <w:pPr>
        <w:shd w:val="clear" w:color="auto" w:fill="FFFFFF"/>
        <w:spacing w:line="240" w:lineRule="auto"/>
        <w:jc w:val="both"/>
        <w:rPr>
          <w:rFonts w:ascii="Sylfaen" w:eastAsia="Times New Roman" w:hAnsi="Sylfaen" w:cs="Sylfaen"/>
          <w:color w:val="222222"/>
          <w:sz w:val="16"/>
          <w:lang w:val="ka-GE"/>
        </w:rPr>
      </w:pPr>
      <w:r w:rsidRPr="00612D8C">
        <w:rPr>
          <w:rStyle w:val="FootnoteReference"/>
          <w:rFonts w:ascii="სყ" w:hAnsi="სყ"/>
        </w:rPr>
        <w:footnoteRef/>
      </w:r>
      <w:r w:rsidR="00612D8C" w:rsidRPr="002B422B">
        <w:rPr>
          <w:rFonts w:ascii="Sylfaen" w:eastAsia="Times New Roman" w:hAnsi="Sylfaen" w:cs="Sylfaen"/>
          <w:color w:val="222222"/>
          <w:sz w:val="16"/>
          <w:lang w:val="ka-GE"/>
        </w:rPr>
        <w:t xml:space="preserve">საბაზო ინფლაციის გაანგარიშება ხდება სამომხმარებლო კალათიდან შემდეგი საქონლისა და მომსახურების ჯგუფების გამორიცხვით: </w:t>
      </w:r>
      <w:r w:rsidR="00612D8C" w:rsidRPr="00612D8C">
        <w:rPr>
          <w:rFonts w:ascii="Sylfaen" w:eastAsia="Times New Roman" w:hAnsi="Sylfaen" w:cs="Sylfaen"/>
          <w:b/>
          <w:color w:val="222222"/>
          <w:sz w:val="16"/>
          <w:lang w:val="ka-GE"/>
        </w:rPr>
        <w:t>სურსათი და უალკოჰოლო სასმელები;</w:t>
      </w:r>
      <w:r w:rsidR="00612D8C" w:rsidRPr="002B422B">
        <w:rPr>
          <w:rFonts w:ascii="Sylfaen" w:eastAsia="Times New Roman" w:hAnsi="Sylfaen" w:cs="Sylfaen"/>
          <w:color w:val="222222"/>
          <w:sz w:val="16"/>
          <w:lang w:val="ka-GE"/>
        </w:rPr>
        <w:t xml:space="preserve"> </w:t>
      </w:r>
      <w:r w:rsidR="00612D8C" w:rsidRPr="00612D8C">
        <w:rPr>
          <w:rFonts w:ascii="Sylfaen" w:eastAsia="Times New Roman" w:hAnsi="Sylfaen" w:cs="Sylfaen"/>
          <w:b/>
          <w:color w:val="222222"/>
          <w:sz w:val="16"/>
          <w:lang w:val="ka-GE"/>
        </w:rPr>
        <w:t>ენერგომატარებლები; ადმინისტრირებადი ტარიფები; ტრანსპორტი (ცალკეული ტარიფები).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F776B"/>
    <w:multiLevelType w:val="hybridMultilevel"/>
    <w:tmpl w:val="41FA9F1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D84379"/>
    <w:multiLevelType w:val="hybridMultilevel"/>
    <w:tmpl w:val="60809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91851"/>
    <w:multiLevelType w:val="hybridMultilevel"/>
    <w:tmpl w:val="2A045F5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D6270F"/>
    <w:multiLevelType w:val="hybridMultilevel"/>
    <w:tmpl w:val="271485E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C56265"/>
    <w:multiLevelType w:val="hybridMultilevel"/>
    <w:tmpl w:val="13B68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6F4ADB"/>
    <w:multiLevelType w:val="hybridMultilevel"/>
    <w:tmpl w:val="0204A00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335EE3"/>
    <w:multiLevelType w:val="hybridMultilevel"/>
    <w:tmpl w:val="F8DA7EA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26D31D4"/>
    <w:multiLevelType w:val="hybridMultilevel"/>
    <w:tmpl w:val="B5D2C5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D3C4A"/>
    <w:multiLevelType w:val="hybridMultilevel"/>
    <w:tmpl w:val="6ABE9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C7B25"/>
    <w:multiLevelType w:val="hybridMultilevel"/>
    <w:tmpl w:val="2FD69286"/>
    <w:lvl w:ilvl="0" w:tplc="0409000B">
      <w:start w:val="1"/>
      <w:numFmt w:val="bullet"/>
      <w:lvlText w:val=""/>
      <w:lvlJc w:val="left"/>
      <w:pPr>
        <w:ind w:left="2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5065B8"/>
    <w:multiLevelType w:val="hybridMultilevel"/>
    <w:tmpl w:val="AECC3B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C07FA7"/>
    <w:multiLevelType w:val="hybridMultilevel"/>
    <w:tmpl w:val="F12820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3635E39"/>
    <w:multiLevelType w:val="hybridMultilevel"/>
    <w:tmpl w:val="E46EF226"/>
    <w:lvl w:ilvl="0" w:tplc="0409000B">
      <w:start w:val="1"/>
      <w:numFmt w:val="bullet"/>
      <w:lvlText w:val=""/>
      <w:lvlJc w:val="left"/>
      <w:pPr>
        <w:ind w:left="13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3" w15:restartNumberingAfterBreak="0">
    <w:nsid w:val="45895AAE"/>
    <w:multiLevelType w:val="hybridMultilevel"/>
    <w:tmpl w:val="0C24241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6E58CE"/>
    <w:multiLevelType w:val="hybridMultilevel"/>
    <w:tmpl w:val="41280C54"/>
    <w:lvl w:ilvl="0" w:tplc="0409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5" w15:restartNumberingAfterBreak="0">
    <w:nsid w:val="4D7C4F78"/>
    <w:multiLevelType w:val="hybridMultilevel"/>
    <w:tmpl w:val="0204A00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ECF3245"/>
    <w:multiLevelType w:val="hybridMultilevel"/>
    <w:tmpl w:val="E17CDF48"/>
    <w:lvl w:ilvl="0" w:tplc="0409000B">
      <w:start w:val="1"/>
      <w:numFmt w:val="bullet"/>
      <w:lvlText w:val=""/>
      <w:lvlJc w:val="left"/>
      <w:pPr>
        <w:ind w:left="172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7" w15:restartNumberingAfterBreak="0">
    <w:nsid w:val="50ED4CDA"/>
    <w:multiLevelType w:val="hybridMultilevel"/>
    <w:tmpl w:val="1B2CC6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3EB2EA1"/>
    <w:multiLevelType w:val="hybridMultilevel"/>
    <w:tmpl w:val="339C625C"/>
    <w:lvl w:ilvl="0" w:tplc="0409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9" w15:restartNumberingAfterBreak="0">
    <w:nsid w:val="581431A3"/>
    <w:multiLevelType w:val="hybridMultilevel"/>
    <w:tmpl w:val="03E846D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5A0D724C"/>
    <w:multiLevelType w:val="hybridMultilevel"/>
    <w:tmpl w:val="614E518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C0A2A2F"/>
    <w:multiLevelType w:val="hybridMultilevel"/>
    <w:tmpl w:val="9C5E695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3A4543F"/>
    <w:multiLevelType w:val="hybridMultilevel"/>
    <w:tmpl w:val="6A40821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6161AF4"/>
    <w:multiLevelType w:val="hybridMultilevel"/>
    <w:tmpl w:val="914EC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8532B"/>
    <w:multiLevelType w:val="hybridMultilevel"/>
    <w:tmpl w:val="AAC24D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89B4DB0"/>
    <w:multiLevelType w:val="hybridMultilevel"/>
    <w:tmpl w:val="603C3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F5ECF"/>
    <w:multiLevelType w:val="hybridMultilevel"/>
    <w:tmpl w:val="031A5E7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54288A"/>
    <w:multiLevelType w:val="hybridMultilevel"/>
    <w:tmpl w:val="C87A7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4E70C7"/>
    <w:multiLevelType w:val="hybridMultilevel"/>
    <w:tmpl w:val="0204A00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2"/>
  </w:num>
  <w:num w:numId="4">
    <w:abstractNumId w:val="19"/>
  </w:num>
  <w:num w:numId="5">
    <w:abstractNumId w:val="8"/>
  </w:num>
  <w:num w:numId="6">
    <w:abstractNumId w:val="6"/>
  </w:num>
  <w:num w:numId="7">
    <w:abstractNumId w:val="24"/>
  </w:num>
  <w:num w:numId="8">
    <w:abstractNumId w:val="14"/>
  </w:num>
  <w:num w:numId="9">
    <w:abstractNumId w:val="17"/>
  </w:num>
  <w:num w:numId="10">
    <w:abstractNumId w:val="1"/>
  </w:num>
  <w:num w:numId="11">
    <w:abstractNumId w:val="4"/>
  </w:num>
  <w:num w:numId="12">
    <w:abstractNumId w:val="9"/>
  </w:num>
  <w:num w:numId="13">
    <w:abstractNumId w:val="10"/>
  </w:num>
  <w:num w:numId="14">
    <w:abstractNumId w:val="23"/>
  </w:num>
  <w:num w:numId="15">
    <w:abstractNumId w:val="27"/>
  </w:num>
  <w:num w:numId="16">
    <w:abstractNumId w:val="16"/>
  </w:num>
  <w:num w:numId="17">
    <w:abstractNumId w:val="21"/>
  </w:num>
  <w:num w:numId="18">
    <w:abstractNumId w:val="22"/>
  </w:num>
  <w:num w:numId="19">
    <w:abstractNumId w:val="18"/>
  </w:num>
  <w:num w:numId="20">
    <w:abstractNumId w:val="0"/>
  </w:num>
  <w:num w:numId="21">
    <w:abstractNumId w:val="25"/>
  </w:num>
  <w:num w:numId="22">
    <w:abstractNumId w:val="28"/>
  </w:num>
  <w:num w:numId="23">
    <w:abstractNumId w:val="13"/>
  </w:num>
  <w:num w:numId="24">
    <w:abstractNumId w:val="3"/>
  </w:num>
  <w:num w:numId="25">
    <w:abstractNumId w:val="20"/>
  </w:num>
  <w:num w:numId="26">
    <w:abstractNumId w:val="5"/>
  </w:num>
  <w:num w:numId="27">
    <w:abstractNumId w:val="11"/>
  </w:num>
  <w:num w:numId="28">
    <w:abstractNumId w:val="1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B8"/>
    <w:rsid w:val="00006D1F"/>
    <w:rsid w:val="00006EE1"/>
    <w:rsid w:val="00012EFF"/>
    <w:rsid w:val="000179AA"/>
    <w:rsid w:val="00022370"/>
    <w:rsid w:val="00024F55"/>
    <w:rsid w:val="000343D9"/>
    <w:rsid w:val="000347D8"/>
    <w:rsid w:val="0003655D"/>
    <w:rsid w:val="000441C2"/>
    <w:rsid w:val="0004662A"/>
    <w:rsid w:val="0006078F"/>
    <w:rsid w:val="000657BA"/>
    <w:rsid w:val="00065F0D"/>
    <w:rsid w:val="00076B2F"/>
    <w:rsid w:val="00081901"/>
    <w:rsid w:val="00081B11"/>
    <w:rsid w:val="00090D1B"/>
    <w:rsid w:val="000927BD"/>
    <w:rsid w:val="00093D03"/>
    <w:rsid w:val="000967F8"/>
    <w:rsid w:val="000A0F3A"/>
    <w:rsid w:val="000A4552"/>
    <w:rsid w:val="000A6080"/>
    <w:rsid w:val="000B148C"/>
    <w:rsid w:val="000B27D3"/>
    <w:rsid w:val="000B4DA5"/>
    <w:rsid w:val="000C4C6D"/>
    <w:rsid w:val="000D00DC"/>
    <w:rsid w:val="000D2600"/>
    <w:rsid w:val="000D3843"/>
    <w:rsid w:val="000E2CA1"/>
    <w:rsid w:val="000E407C"/>
    <w:rsid w:val="000E46B4"/>
    <w:rsid w:val="000F203C"/>
    <w:rsid w:val="000F7F24"/>
    <w:rsid w:val="001014A4"/>
    <w:rsid w:val="00110C52"/>
    <w:rsid w:val="00115B03"/>
    <w:rsid w:val="00120504"/>
    <w:rsid w:val="00125290"/>
    <w:rsid w:val="00131B49"/>
    <w:rsid w:val="001336FD"/>
    <w:rsid w:val="00140217"/>
    <w:rsid w:val="00140EC4"/>
    <w:rsid w:val="0014319D"/>
    <w:rsid w:val="0015052C"/>
    <w:rsid w:val="00165E53"/>
    <w:rsid w:val="00167A16"/>
    <w:rsid w:val="00173F42"/>
    <w:rsid w:val="00176192"/>
    <w:rsid w:val="001773E4"/>
    <w:rsid w:val="00187B20"/>
    <w:rsid w:val="00191FE9"/>
    <w:rsid w:val="00195AFF"/>
    <w:rsid w:val="00197051"/>
    <w:rsid w:val="001A5CA9"/>
    <w:rsid w:val="001B3B9E"/>
    <w:rsid w:val="001B4D92"/>
    <w:rsid w:val="001C37AF"/>
    <w:rsid w:val="001C4F0B"/>
    <w:rsid w:val="001C6696"/>
    <w:rsid w:val="001D2EE6"/>
    <w:rsid w:val="001D4FA1"/>
    <w:rsid w:val="001E0804"/>
    <w:rsid w:val="001E3738"/>
    <w:rsid w:val="002072F5"/>
    <w:rsid w:val="00212FCF"/>
    <w:rsid w:val="00214683"/>
    <w:rsid w:val="00223DB3"/>
    <w:rsid w:val="0022435B"/>
    <w:rsid w:val="00231D91"/>
    <w:rsid w:val="00234BE6"/>
    <w:rsid w:val="002376B4"/>
    <w:rsid w:val="002508C2"/>
    <w:rsid w:val="00254F12"/>
    <w:rsid w:val="002616F2"/>
    <w:rsid w:val="00261839"/>
    <w:rsid w:val="00274E0D"/>
    <w:rsid w:val="00280CFA"/>
    <w:rsid w:val="00284C81"/>
    <w:rsid w:val="002872D8"/>
    <w:rsid w:val="002905D3"/>
    <w:rsid w:val="0029151F"/>
    <w:rsid w:val="002959D9"/>
    <w:rsid w:val="00295BA3"/>
    <w:rsid w:val="002A218A"/>
    <w:rsid w:val="002A29C1"/>
    <w:rsid w:val="002A2F9B"/>
    <w:rsid w:val="002B02AB"/>
    <w:rsid w:val="002B4B61"/>
    <w:rsid w:val="002C34C6"/>
    <w:rsid w:val="002D1BE5"/>
    <w:rsid w:val="002E1370"/>
    <w:rsid w:val="002E532D"/>
    <w:rsid w:val="002F08E4"/>
    <w:rsid w:val="003025E3"/>
    <w:rsid w:val="003049B1"/>
    <w:rsid w:val="00304CB7"/>
    <w:rsid w:val="00316D6E"/>
    <w:rsid w:val="003203E7"/>
    <w:rsid w:val="00331F1F"/>
    <w:rsid w:val="00345694"/>
    <w:rsid w:val="003479ED"/>
    <w:rsid w:val="0035264C"/>
    <w:rsid w:val="003533B1"/>
    <w:rsid w:val="003541DA"/>
    <w:rsid w:val="0036275C"/>
    <w:rsid w:val="003763A8"/>
    <w:rsid w:val="00392A8A"/>
    <w:rsid w:val="003970D9"/>
    <w:rsid w:val="0039774D"/>
    <w:rsid w:val="003A7C36"/>
    <w:rsid w:val="003C4F0B"/>
    <w:rsid w:val="003C6E9A"/>
    <w:rsid w:val="003C7555"/>
    <w:rsid w:val="003D1361"/>
    <w:rsid w:val="003D1394"/>
    <w:rsid w:val="003D3FC3"/>
    <w:rsid w:val="003E2F08"/>
    <w:rsid w:val="003E4ED4"/>
    <w:rsid w:val="003E5E31"/>
    <w:rsid w:val="003F4657"/>
    <w:rsid w:val="003F5A6F"/>
    <w:rsid w:val="00402256"/>
    <w:rsid w:val="0040795C"/>
    <w:rsid w:val="004167B3"/>
    <w:rsid w:val="00431503"/>
    <w:rsid w:val="00442D08"/>
    <w:rsid w:val="00456C00"/>
    <w:rsid w:val="00460E23"/>
    <w:rsid w:val="004668AB"/>
    <w:rsid w:val="00471E9B"/>
    <w:rsid w:val="00494DC2"/>
    <w:rsid w:val="004A5C3A"/>
    <w:rsid w:val="004B1AD5"/>
    <w:rsid w:val="004B4E12"/>
    <w:rsid w:val="004C22D0"/>
    <w:rsid w:val="004C65A5"/>
    <w:rsid w:val="004C7B4A"/>
    <w:rsid w:val="004E23A4"/>
    <w:rsid w:val="004E2FA2"/>
    <w:rsid w:val="004E58BE"/>
    <w:rsid w:val="004F7652"/>
    <w:rsid w:val="00501B98"/>
    <w:rsid w:val="00501E74"/>
    <w:rsid w:val="005060A0"/>
    <w:rsid w:val="00525B25"/>
    <w:rsid w:val="0053106C"/>
    <w:rsid w:val="00536709"/>
    <w:rsid w:val="00542763"/>
    <w:rsid w:val="00544324"/>
    <w:rsid w:val="00547434"/>
    <w:rsid w:val="0056078A"/>
    <w:rsid w:val="005645AF"/>
    <w:rsid w:val="005826F6"/>
    <w:rsid w:val="00590DBA"/>
    <w:rsid w:val="00596CC7"/>
    <w:rsid w:val="005B00BA"/>
    <w:rsid w:val="005B5A9D"/>
    <w:rsid w:val="005C34B0"/>
    <w:rsid w:val="005D6B07"/>
    <w:rsid w:val="005E58E1"/>
    <w:rsid w:val="005F4A12"/>
    <w:rsid w:val="005F580A"/>
    <w:rsid w:val="006015DB"/>
    <w:rsid w:val="006112D2"/>
    <w:rsid w:val="00612D8C"/>
    <w:rsid w:val="006216C1"/>
    <w:rsid w:val="0062288B"/>
    <w:rsid w:val="006266EA"/>
    <w:rsid w:val="00632C46"/>
    <w:rsid w:val="006345B0"/>
    <w:rsid w:val="006368BB"/>
    <w:rsid w:val="0064105B"/>
    <w:rsid w:val="00644C19"/>
    <w:rsid w:val="00650AB4"/>
    <w:rsid w:val="00665543"/>
    <w:rsid w:val="00667F4D"/>
    <w:rsid w:val="00674FBE"/>
    <w:rsid w:val="00684A70"/>
    <w:rsid w:val="00686540"/>
    <w:rsid w:val="00691C0D"/>
    <w:rsid w:val="00697AFC"/>
    <w:rsid w:val="006A0F17"/>
    <w:rsid w:val="006A6658"/>
    <w:rsid w:val="006B0D68"/>
    <w:rsid w:val="006B7FA1"/>
    <w:rsid w:val="006C0B0D"/>
    <w:rsid w:val="006C16DE"/>
    <w:rsid w:val="006C2F04"/>
    <w:rsid w:val="006C7195"/>
    <w:rsid w:val="006D151B"/>
    <w:rsid w:val="006D6F08"/>
    <w:rsid w:val="006F110A"/>
    <w:rsid w:val="00700236"/>
    <w:rsid w:val="007003BF"/>
    <w:rsid w:val="00700D87"/>
    <w:rsid w:val="00710404"/>
    <w:rsid w:val="00712FF9"/>
    <w:rsid w:val="00715512"/>
    <w:rsid w:val="00715FFD"/>
    <w:rsid w:val="007239C1"/>
    <w:rsid w:val="007340B4"/>
    <w:rsid w:val="00736B41"/>
    <w:rsid w:val="00752025"/>
    <w:rsid w:val="00757113"/>
    <w:rsid w:val="007736F5"/>
    <w:rsid w:val="00777AD8"/>
    <w:rsid w:val="007838E4"/>
    <w:rsid w:val="00787BD6"/>
    <w:rsid w:val="00787FA6"/>
    <w:rsid w:val="0079038D"/>
    <w:rsid w:val="007922B8"/>
    <w:rsid w:val="007A2323"/>
    <w:rsid w:val="007A2AD9"/>
    <w:rsid w:val="007A4E03"/>
    <w:rsid w:val="007A524F"/>
    <w:rsid w:val="007B41D3"/>
    <w:rsid w:val="007B4E59"/>
    <w:rsid w:val="007E1760"/>
    <w:rsid w:val="007E68BF"/>
    <w:rsid w:val="007E69B8"/>
    <w:rsid w:val="007F2F8B"/>
    <w:rsid w:val="007F3D22"/>
    <w:rsid w:val="007F494F"/>
    <w:rsid w:val="0080254D"/>
    <w:rsid w:val="0083150C"/>
    <w:rsid w:val="0084010A"/>
    <w:rsid w:val="00842F56"/>
    <w:rsid w:val="0086040A"/>
    <w:rsid w:val="008614B7"/>
    <w:rsid w:val="00867150"/>
    <w:rsid w:val="0087382F"/>
    <w:rsid w:val="008A28AF"/>
    <w:rsid w:val="008B4532"/>
    <w:rsid w:val="008B5B35"/>
    <w:rsid w:val="008C37E3"/>
    <w:rsid w:val="008C5776"/>
    <w:rsid w:val="008D2CEC"/>
    <w:rsid w:val="008D598A"/>
    <w:rsid w:val="008E0D9C"/>
    <w:rsid w:val="00906256"/>
    <w:rsid w:val="00910F73"/>
    <w:rsid w:val="0091590A"/>
    <w:rsid w:val="00915AC9"/>
    <w:rsid w:val="0091703E"/>
    <w:rsid w:val="00922E44"/>
    <w:rsid w:val="00950B1B"/>
    <w:rsid w:val="00951FD5"/>
    <w:rsid w:val="009669B7"/>
    <w:rsid w:val="009670EB"/>
    <w:rsid w:val="00974BB8"/>
    <w:rsid w:val="00981486"/>
    <w:rsid w:val="009919CE"/>
    <w:rsid w:val="00992DB0"/>
    <w:rsid w:val="00994AD7"/>
    <w:rsid w:val="009A5252"/>
    <w:rsid w:val="009B4787"/>
    <w:rsid w:val="009C38B2"/>
    <w:rsid w:val="009C4940"/>
    <w:rsid w:val="009C58CA"/>
    <w:rsid w:val="009D4DD7"/>
    <w:rsid w:val="009F6210"/>
    <w:rsid w:val="00A0068E"/>
    <w:rsid w:val="00A01E77"/>
    <w:rsid w:val="00A02442"/>
    <w:rsid w:val="00A053CD"/>
    <w:rsid w:val="00A12BC6"/>
    <w:rsid w:val="00A17162"/>
    <w:rsid w:val="00A22567"/>
    <w:rsid w:val="00A23E1C"/>
    <w:rsid w:val="00A273D4"/>
    <w:rsid w:val="00A31BD6"/>
    <w:rsid w:val="00A33870"/>
    <w:rsid w:val="00A34639"/>
    <w:rsid w:val="00A35AF6"/>
    <w:rsid w:val="00A36B29"/>
    <w:rsid w:val="00A52578"/>
    <w:rsid w:val="00A55D87"/>
    <w:rsid w:val="00A67CD4"/>
    <w:rsid w:val="00A72CC6"/>
    <w:rsid w:val="00A83273"/>
    <w:rsid w:val="00A858CC"/>
    <w:rsid w:val="00A94DC0"/>
    <w:rsid w:val="00A95F60"/>
    <w:rsid w:val="00AA1D7F"/>
    <w:rsid w:val="00AA2383"/>
    <w:rsid w:val="00AB144D"/>
    <w:rsid w:val="00AB6487"/>
    <w:rsid w:val="00AC3D12"/>
    <w:rsid w:val="00AC44FB"/>
    <w:rsid w:val="00AC654C"/>
    <w:rsid w:val="00AD5177"/>
    <w:rsid w:val="00AE701E"/>
    <w:rsid w:val="00AF22C6"/>
    <w:rsid w:val="00AF702D"/>
    <w:rsid w:val="00B0231A"/>
    <w:rsid w:val="00B04921"/>
    <w:rsid w:val="00B11CF6"/>
    <w:rsid w:val="00B1781B"/>
    <w:rsid w:val="00B21190"/>
    <w:rsid w:val="00B26324"/>
    <w:rsid w:val="00B44814"/>
    <w:rsid w:val="00B50CCC"/>
    <w:rsid w:val="00B520BF"/>
    <w:rsid w:val="00B6032D"/>
    <w:rsid w:val="00B6468B"/>
    <w:rsid w:val="00B93DCC"/>
    <w:rsid w:val="00BC7585"/>
    <w:rsid w:val="00BD0924"/>
    <w:rsid w:val="00BD43FA"/>
    <w:rsid w:val="00BD582F"/>
    <w:rsid w:val="00BD6EC3"/>
    <w:rsid w:val="00BE2457"/>
    <w:rsid w:val="00BF491F"/>
    <w:rsid w:val="00C04B7F"/>
    <w:rsid w:val="00C111FE"/>
    <w:rsid w:val="00C16770"/>
    <w:rsid w:val="00C22118"/>
    <w:rsid w:val="00C24947"/>
    <w:rsid w:val="00C30958"/>
    <w:rsid w:val="00C337BC"/>
    <w:rsid w:val="00C47457"/>
    <w:rsid w:val="00C526BC"/>
    <w:rsid w:val="00C52B46"/>
    <w:rsid w:val="00C53676"/>
    <w:rsid w:val="00C61F17"/>
    <w:rsid w:val="00C872D2"/>
    <w:rsid w:val="00C92A10"/>
    <w:rsid w:val="00C932A1"/>
    <w:rsid w:val="00CC599F"/>
    <w:rsid w:val="00CD71C6"/>
    <w:rsid w:val="00CE3199"/>
    <w:rsid w:val="00CE7C08"/>
    <w:rsid w:val="00CE7C89"/>
    <w:rsid w:val="00CF1AA9"/>
    <w:rsid w:val="00CF37D2"/>
    <w:rsid w:val="00D0021E"/>
    <w:rsid w:val="00D01966"/>
    <w:rsid w:val="00D1380F"/>
    <w:rsid w:val="00D20305"/>
    <w:rsid w:val="00D2295A"/>
    <w:rsid w:val="00D22BF2"/>
    <w:rsid w:val="00D36945"/>
    <w:rsid w:val="00D42092"/>
    <w:rsid w:val="00D422EC"/>
    <w:rsid w:val="00D5231A"/>
    <w:rsid w:val="00D5744B"/>
    <w:rsid w:val="00D614DD"/>
    <w:rsid w:val="00D621CD"/>
    <w:rsid w:val="00D637D2"/>
    <w:rsid w:val="00D6775F"/>
    <w:rsid w:val="00D72880"/>
    <w:rsid w:val="00D80D55"/>
    <w:rsid w:val="00D861FE"/>
    <w:rsid w:val="00D9626C"/>
    <w:rsid w:val="00DB5B02"/>
    <w:rsid w:val="00DB5ECC"/>
    <w:rsid w:val="00DB6468"/>
    <w:rsid w:val="00DC12ED"/>
    <w:rsid w:val="00DD7E0F"/>
    <w:rsid w:val="00DE09AD"/>
    <w:rsid w:val="00DE2E3F"/>
    <w:rsid w:val="00DE30C2"/>
    <w:rsid w:val="00DE7709"/>
    <w:rsid w:val="00E1276E"/>
    <w:rsid w:val="00E21AA0"/>
    <w:rsid w:val="00E22456"/>
    <w:rsid w:val="00E40A22"/>
    <w:rsid w:val="00E458B9"/>
    <w:rsid w:val="00E52C06"/>
    <w:rsid w:val="00E533DB"/>
    <w:rsid w:val="00E645D2"/>
    <w:rsid w:val="00E652CA"/>
    <w:rsid w:val="00E726DB"/>
    <w:rsid w:val="00E72888"/>
    <w:rsid w:val="00E953E8"/>
    <w:rsid w:val="00EA4A68"/>
    <w:rsid w:val="00EA502B"/>
    <w:rsid w:val="00EA7732"/>
    <w:rsid w:val="00EB511B"/>
    <w:rsid w:val="00EC3376"/>
    <w:rsid w:val="00ED19D4"/>
    <w:rsid w:val="00ED7949"/>
    <w:rsid w:val="00EE3499"/>
    <w:rsid w:val="00EF4C98"/>
    <w:rsid w:val="00EF4DBA"/>
    <w:rsid w:val="00EF53C7"/>
    <w:rsid w:val="00F0022D"/>
    <w:rsid w:val="00F12B12"/>
    <w:rsid w:val="00F13F48"/>
    <w:rsid w:val="00F272E1"/>
    <w:rsid w:val="00F31B08"/>
    <w:rsid w:val="00F33F91"/>
    <w:rsid w:val="00F349A8"/>
    <w:rsid w:val="00F36C5D"/>
    <w:rsid w:val="00F41B38"/>
    <w:rsid w:val="00F51387"/>
    <w:rsid w:val="00F51662"/>
    <w:rsid w:val="00F56F19"/>
    <w:rsid w:val="00F61935"/>
    <w:rsid w:val="00F65E58"/>
    <w:rsid w:val="00F6635E"/>
    <w:rsid w:val="00F70259"/>
    <w:rsid w:val="00F70987"/>
    <w:rsid w:val="00F71FC0"/>
    <w:rsid w:val="00F818DC"/>
    <w:rsid w:val="00F83C66"/>
    <w:rsid w:val="00F970AC"/>
    <w:rsid w:val="00FA6AF4"/>
    <w:rsid w:val="00FB03E1"/>
    <w:rsid w:val="00FB3806"/>
    <w:rsid w:val="00FC4C0D"/>
    <w:rsid w:val="00FE0F4D"/>
    <w:rsid w:val="00FE357D"/>
    <w:rsid w:val="00FE461D"/>
    <w:rsid w:val="00FF22D0"/>
    <w:rsid w:val="00FF335E"/>
    <w:rsid w:val="00FF6552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ABDF2"/>
  <w15:docId w15:val="{3DC7FB3D-F809-4065-8D1F-1F31B2AD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7046337957579269095gmail-msolistparagraph">
    <w:name w:val="m_-7046337957579269095gmail-msolistparagraph"/>
    <w:basedOn w:val="Normal"/>
    <w:rsid w:val="00684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84A70"/>
  </w:style>
  <w:style w:type="paragraph" w:styleId="ListParagraph">
    <w:name w:val="List Paragraph"/>
    <w:basedOn w:val="Normal"/>
    <w:uiPriority w:val="34"/>
    <w:qFormat/>
    <w:rsid w:val="00B11CF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252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52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2529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2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F56"/>
  </w:style>
  <w:style w:type="paragraph" w:styleId="Footer">
    <w:name w:val="footer"/>
    <w:basedOn w:val="Normal"/>
    <w:link w:val="FooterChar"/>
    <w:uiPriority w:val="99"/>
    <w:unhideWhenUsed/>
    <w:rsid w:val="00842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F56"/>
  </w:style>
  <w:style w:type="character" w:styleId="CommentReference">
    <w:name w:val="annotation reference"/>
    <w:basedOn w:val="DefaultParagraphFont"/>
    <w:uiPriority w:val="99"/>
    <w:semiHidden/>
    <w:unhideWhenUsed/>
    <w:rsid w:val="00090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D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D1B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2D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2D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12D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8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\Desktop\for%20work\book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PI\CPI_kargi\2020\gavlenebi_2020\09.2020\Charts_gavlenebi_09.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ინფლაცია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414479440069993E-2"/>
          <c:y val="0.15782407407407409"/>
          <c:w val="0.87102996500437446"/>
          <c:h val="0.56411198600174983"/>
        </c:manualLayout>
      </c:layout>
      <c:lineChart>
        <c:grouping val="standard"/>
        <c:varyColors val="0"/>
        <c:ser>
          <c:idx val="0"/>
          <c:order val="0"/>
          <c:tx>
            <c:strRef>
              <c:f>Sheet3!$C$2</c:f>
              <c:strCache>
                <c:ptCount val="1"/>
                <c:pt idx="0">
                  <c:v>ინფლაცია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80"/>
              <c:layout>
                <c:manualLayout>
                  <c:x val="0"/>
                  <c:y val="4.2273367778299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8AB-427A-9C74-2B958301F5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Sheet3!$A$3:$B$83</c:f>
              <c:multiLvlStrCache>
                <c:ptCount val="81"/>
                <c:lvl>
                  <c:pt idx="0">
                    <c:v>იან</c:v>
                  </c:pt>
                  <c:pt idx="1">
                    <c:v>თებ</c:v>
                  </c:pt>
                  <c:pt idx="2">
                    <c:v>მარ</c:v>
                  </c:pt>
                  <c:pt idx="3">
                    <c:v>აპრ</c:v>
                  </c:pt>
                  <c:pt idx="4">
                    <c:v>მაი</c:v>
                  </c:pt>
                  <c:pt idx="5">
                    <c:v>ივნ</c:v>
                  </c:pt>
                  <c:pt idx="6">
                    <c:v>ივლ</c:v>
                  </c:pt>
                  <c:pt idx="7">
                    <c:v>აგვ</c:v>
                  </c:pt>
                  <c:pt idx="8">
                    <c:v>სექ</c:v>
                  </c:pt>
                  <c:pt idx="9">
                    <c:v>ოქტ</c:v>
                  </c:pt>
                  <c:pt idx="10">
                    <c:v>ნოე</c:v>
                  </c:pt>
                  <c:pt idx="11">
                    <c:v>დეკ</c:v>
                  </c:pt>
                  <c:pt idx="12">
                    <c:v>იან</c:v>
                  </c:pt>
                  <c:pt idx="13">
                    <c:v>თებ</c:v>
                  </c:pt>
                  <c:pt idx="14">
                    <c:v>მარ</c:v>
                  </c:pt>
                  <c:pt idx="15">
                    <c:v>აპრ</c:v>
                  </c:pt>
                  <c:pt idx="16">
                    <c:v>მაი</c:v>
                  </c:pt>
                  <c:pt idx="17">
                    <c:v>ივნ</c:v>
                  </c:pt>
                  <c:pt idx="18">
                    <c:v>ივლ</c:v>
                  </c:pt>
                  <c:pt idx="19">
                    <c:v>აგვ</c:v>
                  </c:pt>
                  <c:pt idx="20">
                    <c:v>სექ</c:v>
                  </c:pt>
                  <c:pt idx="21">
                    <c:v>ოქტ</c:v>
                  </c:pt>
                  <c:pt idx="22">
                    <c:v>ნოე</c:v>
                  </c:pt>
                  <c:pt idx="23">
                    <c:v>დეკ</c:v>
                  </c:pt>
                  <c:pt idx="24">
                    <c:v>იან</c:v>
                  </c:pt>
                  <c:pt idx="25">
                    <c:v>თებ</c:v>
                  </c:pt>
                  <c:pt idx="26">
                    <c:v>მარ</c:v>
                  </c:pt>
                  <c:pt idx="27">
                    <c:v>აპრ</c:v>
                  </c:pt>
                  <c:pt idx="28">
                    <c:v>მაი</c:v>
                  </c:pt>
                  <c:pt idx="29">
                    <c:v>ივნ</c:v>
                  </c:pt>
                  <c:pt idx="30">
                    <c:v>ივლ</c:v>
                  </c:pt>
                  <c:pt idx="31">
                    <c:v>აგვ</c:v>
                  </c:pt>
                  <c:pt idx="32">
                    <c:v>სექ</c:v>
                  </c:pt>
                  <c:pt idx="33">
                    <c:v>ოქტ</c:v>
                  </c:pt>
                  <c:pt idx="34">
                    <c:v>ნოე</c:v>
                  </c:pt>
                  <c:pt idx="35">
                    <c:v>დეკ</c:v>
                  </c:pt>
                  <c:pt idx="36">
                    <c:v>იან</c:v>
                  </c:pt>
                  <c:pt idx="37">
                    <c:v>თებ</c:v>
                  </c:pt>
                  <c:pt idx="38">
                    <c:v>მარ</c:v>
                  </c:pt>
                  <c:pt idx="39">
                    <c:v>აპრ</c:v>
                  </c:pt>
                  <c:pt idx="40">
                    <c:v>მაი</c:v>
                  </c:pt>
                  <c:pt idx="41">
                    <c:v>ივნ</c:v>
                  </c:pt>
                  <c:pt idx="42">
                    <c:v>ივლ</c:v>
                  </c:pt>
                  <c:pt idx="43">
                    <c:v>აგვ</c:v>
                  </c:pt>
                  <c:pt idx="44">
                    <c:v>სექ</c:v>
                  </c:pt>
                  <c:pt idx="45">
                    <c:v>ოქტ</c:v>
                  </c:pt>
                  <c:pt idx="46">
                    <c:v>ნოე</c:v>
                  </c:pt>
                  <c:pt idx="47">
                    <c:v>დეკ</c:v>
                  </c:pt>
                  <c:pt idx="48">
                    <c:v>იან</c:v>
                  </c:pt>
                  <c:pt idx="49">
                    <c:v>თებ</c:v>
                  </c:pt>
                  <c:pt idx="50">
                    <c:v>მარ</c:v>
                  </c:pt>
                  <c:pt idx="51">
                    <c:v>აპრ</c:v>
                  </c:pt>
                  <c:pt idx="52">
                    <c:v>მაი</c:v>
                  </c:pt>
                  <c:pt idx="53">
                    <c:v>ივნ</c:v>
                  </c:pt>
                  <c:pt idx="54">
                    <c:v>ივლ</c:v>
                  </c:pt>
                  <c:pt idx="55">
                    <c:v>აგვ</c:v>
                  </c:pt>
                  <c:pt idx="56">
                    <c:v>სექ</c:v>
                  </c:pt>
                  <c:pt idx="57">
                    <c:v>ოქტ</c:v>
                  </c:pt>
                  <c:pt idx="58">
                    <c:v>ნოე</c:v>
                  </c:pt>
                  <c:pt idx="59">
                    <c:v>დეკ</c:v>
                  </c:pt>
                  <c:pt idx="60">
                    <c:v>იან</c:v>
                  </c:pt>
                  <c:pt idx="61">
                    <c:v>თებ</c:v>
                  </c:pt>
                  <c:pt idx="62">
                    <c:v>მარ</c:v>
                  </c:pt>
                  <c:pt idx="63">
                    <c:v>აპრ</c:v>
                  </c:pt>
                  <c:pt idx="64">
                    <c:v>მაი</c:v>
                  </c:pt>
                  <c:pt idx="65">
                    <c:v>ივნ</c:v>
                  </c:pt>
                  <c:pt idx="66">
                    <c:v>ივლ</c:v>
                  </c:pt>
                  <c:pt idx="67">
                    <c:v>აგვ</c:v>
                  </c:pt>
                  <c:pt idx="68">
                    <c:v>სექ</c:v>
                  </c:pt>
                  <c:pt idx="69">
                    <c:v>ოქტ</c:v>
                  </c:pt>
                  <c:pt idx="70">
                    <c:v>ნოე</c:v>
                  </c:pt>
                  <c:pt idx="71">
                    <c:v>დეკ</c:v>
                  </c:pt>
                  <c:pt idx="72">
                    <c:v>იან</c:v>
                  </c:pt>
                  <c:pt idx="73">
                    <c:v>თებ</c:v>
                  </c:pt>
                  <c:pt idx="74">
                    <c:v>მარტ</c:v>
                  </c:pt>
                  <c:pt idx="75">
                    <c:v>აპრ</c:v>
                  </c:pt>
                  <c:pt idx="76">
                    <c:v>მაი</c:v>
                  </c:pt>
                  <c:pt idx="77">
                    <c:v>ივნ</c:v>
                  </c:pt>
                  <c:pt idx="78">
                    <c:v>ივლ</c:v>
                  </c:pt>
                  <c:pt idx="79">
                    <c:v>აგვ</c:v>
                  </c:pt>
                  <c:pt idx="80">
                    <c:v>სექ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  <c:pt idx="24">
                    <c:v>2016</c:v>
                  </c:pt>
                  <c:pt idx="36">
                    <c:v>2017</c:v>
                  </c:pt>
                  <c:pt idx="48">
                    <c:v>2018</c:v>
                  </c:pt>
                  <c:pt idx="60">
                    <c:v>2019</c:v>
                  </c:pt>
                  <c:pt idx="72">
                    <c:v>2020</c:v>
                  </c:pt>
                </c:lvl>
              </c:multiLvlStrCache>
            </c:multiLvlStrRef>
          </c:cat>
          <c:val>
            <c:numRef>
              <c:f>Sheet3!$C$3:$C$83</c:f>
              <c:numCache>
                <c:formatCode>0.0%</c:formatCode>
                <c:ptCount val="81"/>
                <c:pt idx="0">
                  <c:v>2.919700000000006E-2</c:v>
                </c:pt>
                <c:pt idx="1">
                  <c:v>3.4608000000000062E-2</c:v>
                </c:pt>
                <c:pt idx="2">
                  <c:v>3.4917999999999977E-2</c:v>
                </c:pt>
                <c:pt idx="3">
                  <c:v>3.4291000000000051E-2</c:v>
                </c:pt>
                <c:pt idx="4">
                  <c:v>2.4047999999999944E-2</c:v>
                </c:pt>
                <c:pt idx="5">
                  <c:v>2.041700000000006E-2</c:v>
                </c:pt>
                <c:pt idx="6">
                  <c:v>2.8499000000000052E-2</c:v>
                </c:pt>
                <c:pt idx="7">
                  <c:v>3.3765999999999963E-2</c:v>
                </c:pt>
                <c:pt idx="8">
                  <c:v>4.7518000000000032E-2</c:v>
                </c:pt>
                <c:pt idx="9">
                  <c:v>3.4414000000000014E-2</c:v>
                </c:pt>
                <c:pt idx="10">
                  <c:v>2.764399999999995E-2</c:v>
                </c:pt>
                <c:pt idx="11">
                  <c:v>1.9515999999999992E-2</c:v>
                </c:pt>
                <c:pt idx="12">
                  <c:v>1.3937999999999989E-2</c:v>
                </c:pt>
                <c:pt idx="13">
                  <c:v>1.272599999999997E-2</c:v>
                </c:pt>
                <c:pt idx="14">
                  <c:v>2.561099999999996E-2</c:v>
                </c:pt>
                <c:pt idx="15">
                  <c:v>2.5164999999999934E-2</c:v>
                </c:pt>
                <c:pt idx="16">
                  <c:v>3.4594000000000021E-2</c:v>
                </c:pt>
                <c:pt idx="17">
                  <c:v>4.4740000000000037E-2</c:v>
                </c:pt>
                <c:pt idx="18">
                  <c:v>4.8545000000000019E-2</c:v>
                </c:pt>
                <c:pt idx="19">
                  <c:v>5.3719999999999997E-2</c:v>
                </c:pt>
                <c:pt idx="20">
                  <c:v>5.2168000000000062E-2</c:v>
                </c:pt>
                <c:pt idx="21">
                  <c:v>5.7948999999999987E-2</c:v>
                </c:pt>
                <c:pt idx="22">
                  <c:v>6.2537999999999982E-2</c:v>
                </c:pt>
                <c:pt idx="23">
                  <c:v>4.8794999999999929E-2</c:v>
                </c:pt>
                <c:pt idx="24">
                  <c:v>5.570700000000002E-2</c:v>
                </c:pt>
                <c:pt idx="25">
                  <c:v>5.5745000000000003E-2</c:v>
                </c:pt>
                <c:pt idx="26">
                  <c:v>4.061499999999995E-2</c:v>
                </c:pt>
                <c:pt idx="27">
                  <c:v>3.1586999999999962E-2</c:v>
                </c:pt>
                <c:pt idx="28">
                  <c:v>2.072800000000001E-2</c:v>
                </c:pt>
                <c:pt idx="29">
                  <c:v>1.1417000000000002E-2</c:v>
                </c:pt>
                <c:pt idx="30">
                  <c:v>1.5126000000000061E-2</c:v>
                </c:pt>
                <c:pt idx="31">
                  <c:v>9.2170000000000134E-3</c:v>
                </c:pt>
                <c:pt idx="32">
                  <c:v>1.1579999999999301E-3</c:v>
                </c:pt>
                <c:pt idx="33">
                  <c:v>-1.5170000000000528E-3</c:v>
                </c:pt>
                <c:pt idx="34">
                  <c:v>1.5389999999999304E-3</c:v>
                </c:pt>
                <c:pt idx="35">
                  <c:v>1.8319999999999937E-2</c:v>
                </c:pt>
                <c:pt idx="36">
                  <c:v>3.875799999999998E-2</c:v>
                </c:pt>
                <c:pt idx="37">
                  <c:v>5.5369000000000029E-2</c:v>
                </c:pt>
                <c:pt idx="38">
                  <c:v>5.3521999999999965E-2</c:v>
                </c:pt>
                <c:pt idx="39">
                  <c:v>6.1146999999999993E-2</c:v>
                </c:pt>
                <c:pt idx="40">
                  <c:v>6.5558000000000047E-2</c:v>
                </c:pt>
                <c:pt idx="41">
                  <c:v>7.0942000000000005E-2</c:v>
                </c:pt>
                <c:pt idx="42">
                  <c:v>5.9536999999999979E-2</c:v>
                </c:pt>
                <c:pt idx="43">
                  <c:v>5.7339999999999947E-2</c:v>
                </c:pt>
                <c:pt idx="44">
                  <c:v>6.1675999999999932E-2</c:v>
                </c:pt>
                <c:pt idx="45">
                  <c:v>6.4129999999999965E-2</c:v>
                </c:pt>
                <c:pt idx="46">
                  <c:v>6.930499999999995E-2</c:v>
                </c:pt>
                <c:pt idx="47">
                  <c:v>6.7163999999999932E-2</c:v>
                </c:pt>
                <c:pt idx="48">
                  <c:v>4.3213999999999968E-2</c:v>
                </c:pt>
                <c:pt idx="49">
                  <c:v>2.7421999999999967E-2</c:v>
                </c:pt>
                <c:pt idx="50">
                  <c:v>2.8268000000000057E-2</c:v>
                </c:pt>
                <c:pt idx="51">
                  <c:v>2.4951999999999971E-2</c:v>
                </c:pt>
                <c:pt idx="52">
                  <c:v>2.460099999999997E-2</c:v>
                </c:pt>
                <c:pt idx="53">
                  <c:v>2.1989999999999982E-2</c:v>
                </c:pt>
                <c:pt idx="54">
                  <c:v>2.8380999999999972E-2</c:v>
                </c:pt>
                <c:pt idx="55">
                  <c:v>3.1E-2</c:v>
                </c:pt>
                <c:pt idx="56">
                  <c:v>2.7000000000000003E-2</c:v>
                </c:pt>
                <c:pt idx="57">
                  <c:v>2.3E-2</c:v>
                </c:pt>
                <c:pt idx="58">
                  <c:v>1.9E-2</c:v>
                </c:pt>
                <c:pt idx="59">
                  <c:v>1.4999999999999999E-2</c:v>
                </c:pt>
                <c:pt idx="60">
                  <c:v>2.2000000000000002E-2</c:v>
                </c:pt>
                <c:pt idx="61">
                  <c:v>2.3E-2</c:v>
                </c:pt>
                <c:pt idx="62">
                  <c:v>3.7000000000000005E-2</c:v>
                </c:pt>
                <c:pt idx="63">
                  <c:v>4.0999999999999995E-2</c:v>
                </c:pt>
                <c:pt idx="64">
                  <c:v>4.7E-2</c:v>
                </c:pt>
                <c:pt idx="65">
                  <c:v>4.2999999999999997E-2</c:v>
                </c:pt>
                <c:pt idx="66">
                  <c:v>4.5999999999999999E-2</c:v>
                </c:pt>
                <c:pt idx="67">
                  <c:v>4.9000000000000002E-2</c:v>
                </c:pt>
                <c:pt idx="68">
                  <c:v>6.4000000000000001E-2</c:v>
                </c:pt>
                <c:pt idx="69">
                  <c:v>6.9000000000000006E-2</c:v>
                </c:pt>
                <c:pt idx="70" formatCode="0.00%">
                  <c:v>7.0000000000000007E-2</c:v>
                </c:pt>
                <c:pt idx="71" formatCode="0.00%">
                  <c:v>7.0000000000000007E-2</c:v>
                </c:pt>
                <c:pt idx="72">
                  <c:v>6.4000000000000001E-2</c:v>
                </c:pt>
                <c:pt idx="73">
                  <c:v>6.4000000000000001E-2</c:v>
                </c:pt>
                <c:pt idx="74">
                  <c:v>6.0999999999999999E-2</c:v>
                </c:pt>
                <c:pt idx="75">
                  <c:v>6.9000000000000006E-2</c:v>
                </c:pt>
                <c:pt idx="76">
                  <c:v>6.5000000000000002E-2</c:v>
                </c:pt>
                <c:pt idx="77">
                  <c:v>6.0999999999999999E-2</c:v>
                </c:pt>
                <c:pt idx="78">
                  <c:v>5.7000000000000002E-2</c:v>
                </c:pt>
                <c:pt idx="79">
                  <c:v>4.8000000000000001E-2</c:v>
                </c:pt>
                <c:pt idx="80">
                  <c:v>3.7999999999999999E-2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227-468E-AF2F-2905DD476579}"/>
            </c:ext>
          </c:extLst>
        </c:ser>
        <c:ser>
          <c:idx val="1"/>
          <c:order val="1"/>
          <c:tx>
            <c:strRef>
              <c:f>Sheet3!$D$2</c:f>
              <c:strCache>
                <c:ptCount val="1"/>
                <c:pt idx="0">
                  <c:v>საბაზო ინფლაცია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80"/>
              <c:layout>
                <c:manualLayout>
                  <c:x val="0"/>
                  <c:y val="-4.69704086425552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AB-427A-9C74-2B958301F5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Sheet3!$A$3:$B$83</c:f>
              <c:multiLvlStrCache>
                <c:ptCount val="81"/>
                <c:lvl>
                  <c:pt idx="0">
                    <c:v>იან</c:v>
                  </c:pt>
                  <c:pt idx="1">
                    <c:v>თებ</c:v>
                  </c:pt>
                  <c:pt idx="2">
                    <c:v>მარ</c:v>
                  </c:pt>
                  <c:pt idx="3">
                    <c:v>აპრ</c:v>
                  </c:pt>
                  <c:pt idx="4">
                    <c:v>მაი</c:v>
                  </c:pt>
                  <c:pt idx="5">
                    <c:v>ივნ</c:v>
                  </c:pt>
                  <c:pt idx="6">
                    <c:v>ივლ</c:v>
                  </c:pt>
                  <c:pt idx="7">
                    <c:v>აგვ</c:v>
                  </c:pt>
                  <c:pt idx="8">
                    <c:v>სექ</c:v>
                  </c:pt>
                  <c:pt idx="9">
                    <c:v>ოქტ</c:v>
                  </c:pt>
                  <c:pt idx="10">
                    <c:v>ნოე</c:v>
                  </c:pt>
                  <c:pt idx="11">
                    <c:v>დეკ</c:v>
                  </c:pt>
                  <c:pt idx="12">
                    <c:v>იან</c:v>
                  </c:pt>
                  <c:pt idx="13">
                    <c:v>თებ</c:v>
                  </c:pt>
                  <c:pt idx="14">
                    <c:v>მარ</c:v>
                  </c:pt>
                  <c:pt idx="15">
                    <c:v>აპრ</c:v>
                  </c:pt>
                  <c:pt idx="16">
                    <c:v>მაი</c:v>
                  </c:pt>
                  <c:pt idx="17">
                    <c:v>ივნ</c:v>
                  </c:pt>
                  <c:pt idx="18">
                    <c:v>ივლ</c:v>
                  </c:pt>
                  <c:pt idx="19">
                    <c:v>აგვ</c:v>
                  </c:pt>
                  <c:pt idx="20">
                    <c:v>სექ</c:v>
                  </c:pt>
                  <c:pt idx="21">
                    <c:v>ოქტ</c:v>
                  </c:pt>
                  <c:pt idx="22">
                    <c:v>ნოე</c:v>
                  </c:pt>
                  <c:pt idx="23">
                    <c:v>დეკ</c:v>
                  </c:pt>
                  <c:pt idx="24">
                    <c:v>იან</c:v>
                  </c:pt>
                  <c:pt idx="25">
                    <c:v>თებ</c:v>
                  </c:pt>
                  <c:pt idx="26">
                    <c:v>მარ</c:v>
                  </c:pt>
                  <c:pt idx="27">
                    <c:v>აპრ</c:v>
                  </c:pt>
                  <c:pt idx="28">
                    <c:v>მაი</c:v>
                  </c:pt>
                  <c:pt idx="29">
                    <c:v>ივნ</c:v>
                  </c:pt>
                  <c:pt idx="30">
                    <c:v>ივლ</c:v>
                  </c:pt>
                  <c:pt idx="31">
                    <c:v>აგვ</c:v>
                  </c:pt>
                  <c:pt idx="32">
                    <c:v>სექ</c:v>
                  </c:pt>
                  <c:pt idx="33">
                    <c:v>ოქტ</c:v>
                  </c:pt>
                  <c:pt idx="34">
                    <c:v>ნოე</c:v>
                  </c:pt>
                  <c:pt idx="35">
                    <c:v>დეკ</c:v>
                  </c:pt>
                  <c:pt idx="36">
                    <c:v>იან</c:v>
                  </c:pt>
                  <c:pt idx="37">
                    <c:v>თებ</c:v>
                  </c:pt>
                  <c:pt idx="38">
                    <c:v>მარ</c:v>
                  </c:pt>
                  <c:pt idx="39">
                    <c:v>აპრ</c:v>
                  </c:pt>
                  <c:pt idx="40">
                    <c:v>მაი</c:v>
                  </c:pt>
                  <c:pt idx="41">
                    <c:v>ივნ</c:v>
                  </c:pt>
                  <c:pt idx="42">
                    <c:v>ივლ</c:v>
                  </c:pt>
                  <c:pt idx="43">
                    <c:v>აგვ</c:v>
                  </c:pt>
                  <c:pt idx="44">
                    <c:v>სექ</c:v>
                  </c:pt>
                  <c:pt idx="45">
                    <c:v>ოქტ</c:v>
                  </c:pt>
                  <c:pt idx="46">
                    <c:v>ნოე</c:v>
                  </c:pt>
                  <c:pt idx="47">
                    <c:v>დეკ</c:v>
                  </c:pt>
                  <c:pt idx="48">
                    <c:v>იან</c:v>
                  </c:pt>
                  <c:pt idx="49">
                    <c:v>თებ</c:v>
                  </c:pt>
                  <c:pt idx="50">
                    <c:v>მარ</c:v>
                  </c:pt>
                  <c:pt idx="51">
                    <c:v>აპრ</c:v>
                  </c:pt>
                  <c:pt idx="52">
                    <c:v>მაი</c:v>
                  </c:pt>
                  <c:pt idx="53">
                    <c:v>ივნ</c:v>
                  </c:pt>
                  <c:pt idx="54">
                    <c:v>ივლ</c:v>
                  </c:pt>
                  <c:pt idx="55">
                    <c:v>აგვ</c:v>
                  </c:pt>
                  <c:pt idx="56">
                    <c:v>სექ</c:v>
                  </c:pt>
                  <c:pt idx="57">
                    <c:v>ოქტ</c:v>
                  </c:pt>
                  <c:pt idx="58">
                    <c:v>ნოე</c:v>
                  </c:pt>
                  <c:pt idx="59">
                    <c:v>დეკ</c:v>
                  </c:pt>
                  <c:pt idx="60">
                    <c:v>იან</c:v>
                  </c:pt>
                  <c:pt idx="61">
                    <c:v>თებ</c:v>
                  </c:pt>
                  <c:pt idx="62">
                    <c:v>მარ</c:v>
                  </c:pt>
                  <c:pt idx="63">
                    <c:v>აპრ</c:v>
                  </c:pt>
                  <c:pt idx="64">
                    <c:v>მაი</c:v>
                  </c:pt>
                  <c:pt idx="65">
                    <c:v>ივნ</c:v>
                  </c:pt>
                  <c:pt idx="66">
                    <c:v>ივლ</c:v>
                  </c:pt>
                  <c:pt idx="67">
                    <c:v>აგვ</c:v>
                  </c:pt>
                  <c:pt idx="68">
                    <c:v>სექ</c:v>
                  </c:pt>
                  <c:pt idx="69">
                    <c:v>ოქტ</c:v>
                  </c:pt>
                  <c:pt idx="70">
                    <c:v>ნოე</c:v>
                  </c:pt>
                  <c:pt idx="71">
                    <c:v>დეკ</c:v>
                  </c:pt>
                  <c:pt idx="72">
                    <c:v>იან</c:v>
                  </c:pt>
                  <c:pt idx="73">
                    <c:v>თებ</c:v>
                  </c:pt>
                  <c:pt idx="74">
                    <c:v>მარტ</c:v>
                  </c:pt>
                  <c:pt idx="75">
                    <c:v>აპრ</c:v>
                  </c:pt>
                  <c:pt idx="76">
                    <c:v>მაი</c:v>
                  </c:pt>
                  <c:pt idx="77">
                    <c:v>ივნ</c:v>
                  </c:pt>
                  <c:pt idx="78">
                    <c:v>ივლ</c:v>
                  </c:pt>
                  <c:pt idx="79">
                    <c:v>აგვ</c:v>
                  </c:pt>
                  <c:pt idx="80">
                    <c:v>სექ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  <c:pt idx="24">
                    <c:v>2016</c:v>
                  </c:pt>
                  <c:pt idx="36">
                    <c:v>2017</c:v>
                  </c:pt>
                  <c:pt idx="48">
                    <c:v>2018</c:v>
                  </c:pt>
                  <c:pt idx="60">
                    <c:v>2019</c:v>
                  </c:pt>
                  <c:pt idx="72">
                    <c:v>2020</c:v>
                  </c:pt>
                </c:lvl>
              </c:multiLvlStrCache>
            </c:multiLvlStrRef>
          </c:cat>
          <c:val>
            <c:numRef>
              <c:f>Sheet3!$D$3:$D$83</c:f>
              <c:numCache>
                <c:formatCode>0.0%</c:formatCode>
                <c:ptCount val="81"/>
                <c:pt idx="0">
                  <c:v>1.2001999999999999E-2</c:v>
                </c:pt>
                <c:pt idx="1">
                  <c:v>1.9431E-2</c:v>
                </c:pt>
                <c:pt idx="2">
                  <c:v>1.8779000000000001E-2</c:v>
                </c:pt>
                <c:pt idx="3">
                  <c:v>1.8050999999999998E-2</c:v>
                </c:pt>
                <c:pt idx="4">
                  <c:v>2.3041999999999997E-2</c:v>
                </c:pt>
                <c:pt idx="5">
                  <c:v>2.3179999999999999E-2</c:v>
                </c:pt>
                <c:pt idx="6">
                  <c:v>2.0899000000000001E-2</c:v>
                </c:pt>
                <c:pt idx="7">
                  <c:v>1.6347E-2</c:v>
                </c:pt>
                <c:pt idx="8">
                  <c:v>3.2406000000000004E-2</c:v>
                </c:pt>
                <c:pt idx="9">
                  <c:v>1.7009E-2</c:v>
                </c:pt>
                <c:pt idx="10">
                  <c:v>1.558E-2</c:v>
                </c:pt>
                <c:pt idx="11">
                  <c:v>2.7317000000000001E-2</c:v>
                </c:pt>
                <c:pt idx="12">
                  <c:v>3.0627000000000001E-2</c:v>
                </c:pt>
                <c:pt idx="13">
                  <c:v>3.2667000000000002E-2</c:v>
                </c:pt>
                <c:pt idx="14">
                  <c:v>4.4278999999999999E-2</c:v>
                </c:pt>
                <c:pt idx="15">
                  <c:v>4.5788000000000002E-2</c:v>
                </c:pt>
                <c:pt idx="16">
                  <c:v>5.1316000000000001E-2</c:v>
                </c:pt>
                <c:pt idx="17">
                  <c:v>5.4816999999999998E-2</c:v>
                </c:pt>
                <c:pt idx="18">
                  <c:v>5.6128999999999998E-2</c:v>
                </c:pt>
                <c:pt idx="19">
                  <c:v>6.5016999999999991E-2</c:v>
                </c:pt>
                <c:pt idx="20">
                  <c:v>7.0858999999999991E-2</c:v>
                </c:pt>
                <c:pt idx="21">
                  <c:v>7.9000000000000001E-2</c:v>
                </c:pt>
                <c:pt idx="22">
                  <c:v>8.2143999999999995E-2</c:v>
                </c:pt>
                <c:pt idx="23">
                  <c:v>6.9345000000000004E-2</c:v>
                </c:pt>
                <c:pt idx="24">
                  <c:v>6.8600000000000008E-2</c:v>
                </c:pt>
                <c:pt idx="25">
                  <c:v>7.2550000000000003E-2</c:v>
                </c:pt>
                <c:pt idx="26">
                  <c:v>5.9782000000000002E-2</c:v>
                </c:pt>
                <c:pt idx="27">
                  <c:v>5.1288E-2</c:v>
                </c:pt>
                <c:pt idx="28">
                  <c:v>3.8314000000000001E-2</c:v>
                </c:pt>
                <c:pt idx="29">
                  <c:v>2.8559999999999999E-2</c:v>
                </c:pt>
                <c:pt idx="30">
                  <c:v>3.0952999999999998E-2</c:v>
                </c:pt>
                <c:pt idx="31">
                  <c:v>2.649E-2</c:v>
                </c:pt>
                <c:pt idx="32">
                  <c:v>1.4844E-2</c:v>
                </c:pt>
                <c:pt idx="33">
                  <c:v>9.0359999999999989E-3</c:v>
                </c:pt>
                <c:pt idx="34">
                  <c:v>9.2969999999999997E-3</c:v>
                </c:pt>
                <c:pt idx="35">
                  <c:v>1.8485999999999999E-2</c:v>
                </c:pt>
                <c:pt idx="36">
                  <c:v>2.8391000000000003E-2</c:v>
                </c:pt>
                <c:pt idx="37">
                  <c:v>3.1285E-2</c:v>
                </c:pt>
                <c:pt idx="38">
                  <c:v>2.8881999999999998E-2</c:v>
                </c:pt>
                <c:pt idx="39">
                  <c:v>3.3210999999999997E-2</c:v>
                </c:pt>
                <c:pt idx="40">
                  <c:v>3.7451999999999999E-2</c:v>
                </c:pt>
                <c:pt idx="41">
                  <c:v>4.5330000000000002E-2</c:v>
                </c:pt>
                <c:pt idx="42">
                  <c:v>4.2821999999999999E-2</c:v>
                </c:pt>
                <c:pt idx="43">
                  <c:v>4.3112999999999999E-2</c:v>
                </c:pt>
                <c:pt idx="44">
                  <c:v>4.4595000000000003E-2</c:v>
                </c:pt>
                <c:pt idx="45">
                  <c:v>4.4266E-2</c:v>
                </c:pt>
                <c:pt idx="46">
                  <c:v>5.1094000000000001E-2</c:v>
                </c:pt>
                <c:pt idx="47">
                  <c:v>4.6547999999999999E-2</c:v>
                </c:pt>
                <c:pt idx="48">
                  <c:v>3.0390999999999998E-2</c:v>
                </c:pt>
                <c:pt idx="49">
                  <c:v>1.7444000000000001E-2</c:v>
                </c:pt>
                <c:pt idx="50">
                  <c:v>1.8103999999999999E-2</c:v>
                </c:pt>
                <c:pt idx="51">
                  <c:v>1.8222000000000002E-2</c:v>
                </c:pt>
                <c:pt idx="52">
                  <c:v>1.7979999999999999E-2</c:v>
                </c:pt>
                <c:pt idx="53">
                  <c:v>1.6230999999999999E-2</c:v>
                </c:pt>
                <c:pt idx="54">
                  <c:v>1.3637999999999999E-2</c:v>
                </c:pt>
                <c:pt idx="55">
                  <c:v>1.4999999999999999E-2</c:v>
                </c:pt>
                <c:pt idx="56">
                  <c:v>1.7000000000000001E-2</c:v>
                </c:pt>
                <c:pt idx="57">
                  <c:v>1.7000000000000001E-2</c:v>
                </c:pt>
                <c:pt idx="58">
                  <c:v>1.3000000000000001E-2</c:v>
                </c:pt>
                <c:pt idx="59">
                  <c:v>8.9999999999999993E-3</c:v>
                </c:pt>
                <c:pt idx="60">
                  <c:v>1.7000000000000001E-2</c:v>
                </c:pt>
                <c:pt idx="61">
                  <c:v>1.3000000000000001E-2</c:v>
                </c:pt>
                <c:pt idx="62">
                  <c:v>3.5000000000000003E-2</c:v>
                </c:pt>
                <c:pt idx="63">
                  <c:v>3.5999999999999997E-2</c:v>
                </c:pt>
                <c:pt idx="64">
                  <c:v>3.4000000000000002E-2</c:v>
                </c:pt>
                <c:pt idx="65">
                  <c:v>3.6000000000000004E-2</c:v>
                </c:pt>
                <c:pt idx="66">
                  <c:v>3.4000000000000002E-2</c:v>
                </c:pt>
                <c:pt idx="67">
                  <c:v>3.7999999999999999E-2</c:v>
                </c:pt>
                <c:pt idx="68">
                  <c:v>4.5999999999999999E-2</c:v>
                </c:pt>
                <c:pt idx="69">
                  <c:v>4.7E-2</c:v>
                </c:pt>
                <c:pt idx="70">
                  <c:v>4.9000000000000002E-2</c:v>
                </c:pt>
                <c:pt idx="71">
                  <c:v>5.1999999999999998E-2</c:v>
                </c:pt>
                <c:pt idx="72">
                  <c:v>4.3999999999999997E-2</c:v>
                </c:pt>
                <c:pt idx="73">
                  <c:v>4.5999999999999999E-2</c:v>
                </c:pt>
                <c:pt idx="74">
                  <c:v>3.6999999999999998E-2</c:v>
                </c:pt>
                <c:pt idx="75">
                  <c:v>4.5999999999999999E-2</c:v>
                </c:pt>
                <c:pt idx="76">
                  <c:v>5.8999999999999997E-2</c:v>
                </c:pt>
                <c:pt idx="77">
                  <c:v>6.6000000000000003E-2</c:v>
                </c:pt>
                <c:pt idx="78">
                  <c:v>6.0999999999999999E-2</c:v>
                </c:pt>
                <c:pt idx="79">
                  <c:v>5.7000000000000002E-2</c:v>
                </c:pt>
                <c:pt idx="80">
                  <c:v>5.2000000000000005E-2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227-468E-AF2F-2905DD4765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57488383"/>
        <c:axId val="183087903"/>
      </c:lineChart>
      <c:catAx>
        <c:axId val="6574883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ylfaen" panose="010A0502050306030303" pitchFamily="18" charset="0"/>
                <a:ea typeface="+mn-ea"/>
                <a:cs typeface="+mn-cs"/>
              </a:defRPr>
            </a:pPr>
            <a:endParaRPr lang="en-US"/>
          </a:p>
        </c:txPr>
        <c:crossAx val="183087903"/>
        <c:crosses val="autoZero"/>
        <c:auto val="1"/>
        <c:lblAlgn val="ctr"/>
        <c:lblOffset val="100"/>
        <c:tickLblSkip val="1"/>
        <c:noMultiLvlLbl val="0"/>
      </c:catAx>
      <c:valAx>
        <c:axId val="183087903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74883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Sylfaen" panose="010A0502050306030303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929299916219525"/>
          <c:y val="7.0982548234102313E-2"/>
          <c:w val="0.45705536363444221"/>
          <c:h val="0.8277379011834047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C00000"/>
            </a:solidFill>
          </c:spPr>
          <c:invertIfNegative val="0"/>
          <c:dLbls>
            <c:dLbl>
              <c:idx val="2"/>
              <c:layout>
                <c:manualLayout>
                  <c:x val="-1.2156961868231318E-2"/>
                  <c:y val="-5.4495067848969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A73-493E-A04F-CC052FC04A83}"/>
                </c:ext>
              </c:extLst>
            </c:dLbl>
            <c:dLbl>
              <c:idx val="3"/>
              <c:layout>
                <c:manualLayout>
                  <c:x val="-6.844152957119684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A73-493E-A04F-CC052FC04A83}"/>
                </c:ext>
              </c:extLst>
            </c:dLbl>
            <c:dLbl>
              <c:idx val="4"/>
              <c:layout>
                <c:manualLayout>
                  <c:x val="-3.852631668857092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A73-493E-A04F-CC052FC04A83}"/>
                </c:ext>
              </c:extLst>
            </c:dLbl>
            <c:dLbl>
              <c:idx val="5"/>
              <c:layout>
                <c:manualLayout>
                  <c:x val="-1.7204232616450744E-2"/>
                  <c:y val="-3.56875077414828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73-493E-A04F-CC052FC04A83}"/>
                </c:ext>
              </c:extLst>
            </c:dLbl>
            <c:dLbl>
              <c:idx val="7"/>
              <c:layout>
                <c:manualLayout>
                  <c:x val="-3.7884562933846598E-3"/>
                  <c:y val="-7.7657507869617704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A73-493E-A04F-CC052FC04A83}"/>
                </c:ext>
              </c:extLst>
            </c:dLbl>
            <c:dLbl>
              <c:idx val="8"/>
              <c:layout>
                <c:manualLayout>
                  <c:x val="-3.7512977544473607E-3"/>
                  <c:y val="-2.56587926509186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A73-493E-A04F-CC052FC04A83}"/>
                </c:ext>
              </c:extLst>
            </c:dLbl>
            <c:dLbl>
              <c:idx val="9"/>
              <c:layout>
                <c:manualLayout>
                  <c:x val="-1.227969375442876E-2"/>
                  <c:y val="-8.5532357279542286E-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A73-493E-A04F-CC052FC04A83}"/>
                </c:ext>
              </c:extLst>
            </c:dLbl>
            <c:dLbl>
              <c:idx val="10"/>
              <c:layout>
                <c:manualLayout>
                  <c:x val="-5.6368572346066643E-3"/>
                  <c:y val="-4.93754971568266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A73-493E-A04F-CC052FC04A83}"/>
                </c:ext>
              </c:extLst>
            </c:dLbl>
            <c:dLbl>
              <c:idx val="11"/>
              <c:layout>
                <c:manualLayout>
                  <c:x val="-2.8643242287694618E-3"/>
                  <c:y val="2.387968366990857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A73-493E-A04F-CC052FC04A83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ru-RU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'09_georgian'!$B$43:$B$54</c:f>
              <c:strCache>
                <c:ptCount val="12"/>
                <c:pt idx="0">
                  <c:v>სხვადასხვა საქონელი და მომსახურება</c:v>
                </c:pt>
                <c:pt idx="1">
                  <c:v>სასტუმროები, კაფეები და რესტორნები</c:v>
                </c:pt>
                <c:pt idx="2">
                  <c:v>განათლება</c:v>
                </c:pt>
                <c:pt idx="3">
                  <c:v>დასვენება, გართობა და კულტურა</c:v>
                </c:pt>
                <c:pt idx="4">
                  <c:v>კავშირგაბმულობა</c:v>
                </c:pt>
                <c:pt idx="5">
                  <c:v>ტრანსპორტი</c:v>
                </c:pt>
                <c:pt idx="6">
                  <c:v>ჯანმრთელობის დაცვა</c:v>
                </c:pt>
                <c:pt idx="7">
                  <c:v>ავეჯი, საოჯახო ნივთები, სახლის მოვლა</c:v>
                </c:pt>
                <c:pt idx="8">
                  <c:v>საცხოვრებელი, წყალი, ელ.ენერგია, აირი</c:v>
                </c:pt>
                <c:pt idx="9">
                  <c:v>ტანსაცმელი და ფეხსაცმელი</c:v>
                </c:pt>
                <c:pt idx="10">
                  <c:v>ალკოჰოლური სასმელები, თამბაქო</c:v>
                </c:pt>
                <c:pt idx="11">
                  <c:v>სურსათი და უალკოჰოლო სასმელები</c:v>
                </c:pt>
              </c:strCache>
            </c:strRef>
          </c:cat>
          <c:val>
            <c:numRef>
              <c:f>'09_georgian'!$C$43:$C$54</c:f>
              <c:numCache>
                <c:formatCode>0.00</c:formatCode>
                <c:ptCount val="12"/>
                <c:pt idx="0">
                  <c:v>0.50737735778355508</c:v>
                </c:pt>
                <c:pt idx="1">
                  <c:v>0.28842736808537006</c:v>
                </c:pt>
                <c:pt idx="2">
                  <c:v>2.6880981408846896E-2</c:v>
                </c:pt>
                <c:pt idx="3">
                  <c:v>-8.1650746448446582E-2</c:v>
                </c:pt>
                <c:pt idx="4">
                  <c:v>7.2730006480541285E-3</c:v>
                </c:pt>
                <c:pt idx="5">
                  <c:v>-0.87059069647688248</c:v>
                </c:pt>
                <c:pt idx="6">
                  <c:v>0.60701665689516915</c:v>
                </c:pt>
                <c:pt idx="7">
                  <c:v>0.4959783406754672</c:v>
                </c:pt>
                <c:pt idx="8">
                  <c:v>0.16074599912829973</c:v>
                </c:pt>
                <c:pt idx="9">
                  <c:v>7.0963472896310303E-2</c:v>
                </c:pt>
                <c:pt idx="10">
                  <c:v>0.5908983197033959</c:v>
                </c:pt>
                <c:pt idx="11">
                  <c:v>1.9662844670428232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3A73-493E-A04F-CC052FC04A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013312"/>
        <c:axId val="183939584"/>
      </c:barChart>
      <c:catAx>
        <c:axId val="168013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txPr>
          <a:bodyPr/>
          <a:lstStyle/>
          <a:p>
            <a:pPr>
              <a:defRPr lang="ru-RU"/>
            </a:pPr>
            <a:endParaRPr lang="en-US"/>
          </a:p>
        </c:txPr>
        <c:crossAx val="183939584"/>
        <c:crossesAt val="0"/>
        <c:auto val="0"/>
        <c:lblAlgn val="ctr"/>
        <c:lblOffset val="100"/>
        <c:tickMarkSkip val="1"/>
        <c:noMultiLvlLbl val="0"/>
      </c:catAx>
      <c:valAx>
        <c:axId val="183939584"/>
        <c:scaling>
          <c:orientation val="minMax"/>
          <c:max val="2"/>
          <c:min val="-1"/>
        </c:scaling>
        <c:delete val="0"/>
        <c:axPos val="b"/>
        <c:numFmt formatCode="0.00" sourceLinked="0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en-US"/>
          </a:p>
        </c:txPr>
        <c:crossAx val="168013312"/>
        <c:crosses val="autoZero"/>
        <c:crossBetween val="between"/>
        <c:majorUnit val="0.5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2DF50-0FB7-4A56-AA9F-68D3D900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vtsintsadze@moesd.gov.ge</dc:creator>
  <cp:lastModifiedBy>User</cp:lastModifiedBy>
  <cp:revision>2</cp:revision>
  <cp:lastPrinted>2017-09-01T14:17:00Z</cp:lastPrinted>
  <dcterms:created xsi:type="dcterms:W3CDTF">2020-10-02T07:47:00Z</dcterms:created>
  <dcterms:modified xsi:type="dcterms:W3CDTF">2020-10-02T07:47:00Z</dcterms:modified>
</cp:coreProperties>
</file>